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F5" w:rsidRDefault="009F012F" w:rsidP="009F012F">
      <w:pPr>
        <w:spacing w:after="0" w:line="240" w:lineRule="auto"/>
        <w:rPr>
          <w:rFonts w:asciiTheme="minorHAnsi" w:hAnsiTheme="minorHAnsi"/>
          <w:b/>
          <w:color w:val="365F91" w:themeColor="accent1" w:themeShade="BF"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74F9E7B2" wp14:editId="323A81FD">
            <wp:extent cx="1009650" cy="1695450"/>
            <wp:effectExtent l="0" t="0" r="0" b="0"/>
            <wp:docPr id="1" name="Image 1" descr="Logo SML2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SML20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color w:val="365F91" w:themeColor="accent1" w:themeShade="BF"/>
          <w:sz w:val="36"/>
          <w:szCs w:val="36"/>
        </w:rPr>
        <w:tab/>
      </w:r>
      <w:r>
        <w:rPr>
          <w:rFonts w:asciiTheme="minorHAnsi" w:hAnsiTheme="minorHAnsi"/>
          <w:b/>
          <w:color w:val="365F91" w:themeColor="accent1" w:themeShade="BF"/>
          <w:sz w:val="36"/>
          <w:szCs w:val="36"/>
        </w:rPr>
        <w:tab/>
      </w:r>
      <w:r>
        <w:rPr>
          <w:rFonts w:asciiTheme="minorHAnsi" w:hAnsiTheme="minorHAnsi"/>
          <w:b/>
          <w:color w:val="365F91" w:themeColor="accent1" w:themeShade="BF"/>
          <w:sz w:val="36"/>
          <w:szCs w:val="36"/>
        </w:rPr>
        <w:tab/>
      </w:r>
    </w:p>
    <w:p w:rsidR="00EF5D35" w:rsidRPr="00EF5D35" w:rsidRDefault="00EF5D35" w:rsidP="00EF5D35">
      <w:pPr>
        <w:spacing w:after="0" w:line="240" w:lineRule="auto"/>
        <w:ind w:left="1701"/>
        <w:jc w:val="center"/>
        <w:rPr>
          <w:b/>
          <w:color w:val="365F91"/>
          <w:sz w:val="36"/>
          <w:szCs w:val="36"/>
        </w:rPr>
      </w:pPr>
      <w:r w:rsidRPr="00EF5D35">
        <w:rPr>
          <w:b/>
          <w:color w:val="365F91"/>
          <w:sz w:val="36"/>
          <w:szCs w:val="36"/>
        </w:rPr>
        <w:t>Accessibilité  des  locaux aux personnes handicapées</w:t>
      </w:r>
    </w:p>
    <w:p w:rsidR="00EF5D35" w:rsidRPr="00EF5D35" w:rsidRDefault="00EF5D35" w:rsidP="00EF5D35">
      <w:pPr>
        <w:spacing w:after="0" w:line="240" w:lineRule="auto"/>
        <w:ind w:left="1701"/>
        <w:jc w:val="center"/>
        <w:rPr>
          <w:b/>
          <w:color w:val="365F91"/>
          <w:sz w:val="24"/>
          <w:szCs w:val="24"/>
        </w:rPr>
      </w:pPr>
    </w:p>
    <w:p w:rsidR="00EF5D35" w:rsidRPr="00EF5D35" w:rsidRDefault="00EF5D35" w:rsidP="00EF5D35">
      <w:pPr>
        <w:spacing w:after="0" w:line="240" w:lineRule="auto"/>
        <w:ind w:left="1701"/>
        <w:jc w:val="center"/>
        <w:rPr>
          <w:b/>
          <w:color w:val="C00000"/>
          <w:sz w:val="40"/>
          <w:szCs w:val="40"/>
        </w:rPr>
      </w:pPr>
      <w:bookmarkStart w:id="0" w:name="_GoBack"/>
      <w:r w:rsidRPr="00EF5D35">
        <w:rPr>
          <w:rFonts w:eastAsia="Times New Roman" w:cs="LiberationSans"/>
          <w:b/>
          <w:color w:val="C00000"/>
          <w:sz w:val="40"/>
          <w:szCs w:val="40"/>
          <w:lang w:eastAsia="fr-FR"/>
        </w:rPr>
        <w:t>Agenda d’accessibilité programmée (Ad’AP)</w:t>
      </w:r>
    </w:p>
    <w:bookmarkEnd w:id="0"/>
    <w:p w:rsidR="00EF5D35" w:rsidRPr="00EF5D35" w:rsidRDefault="00EF5D35" w:rsidP="00EF5D35">
      <w:pPr>
        <w:spacing w:after="0" w:line="240" w:lineRule="auto"/>
        <w:ind w:left="1701"/>
        <w:rPr>
          <w:color w:val="365F91"/>
          <w:sz w:val="24"/>
          <w:szCs w:val="24"/>
        </w:rPr>
      </w:pPr>
    </w:p>
    <w:p w:rsidR="00EF5D35" w:rsidRPr="00EF5D35" w:rsidRDefault="00EF5D35" w:rsidP="00EF5D35">
      <w:pPr>
        <w:spacing w:after="0" w:line="240" w:lineRule="auto"/>
        <w:ind w:left="1701"/>
        <w:rPr>
          <w:b/>
          <w:color w:val="365F91"/>
          <w:sz w:val="28"/>
          <w:szCs w:val="28"/>
        </w:rPr>
      </w:pPr>
      <w:r w:rsidRPr="00EF5D35">
        <w:rPr>
          <w:b/>
          <w:color w:val="365F91"/>
          <w:sz w:val="28"/>
          <w:szCs w:val="28"/>
        </w:rPr>
        <w:t>Les pouvoirs publics ont pris conscience de l’impossibilité</w:t>
      </w:r>
    </w:p>
    <w:p w:rsidR="00EF5D35" w:rsidRDefault="00EF5D35" w:rsidP="00EF5D35">
      <w:pPr>
        <w:numPr>
          <w:ilvl w:val="0"/>
          <w:numId w:val="5"/>
        </w:numPr>
        <w:spacing w:after="0" w:line="240" w:lineRule="auto"/>
        <w:rPr>
          <w:b/>
          <w:color w:val="365F91"/>
          <w:sz w:val="28"/>
          <w:szCs w:val="28"/>
        </w:rPr>
      </w:pPr>
      <w:r w:rsidRPr="00EF5D35">
        <w:rPr>
          <w:b/>
          <w:color w:val="365F91"/>
          <w:sz w:val="28"/>
          <w:szCs w:val="28"/>
        </w:rPr>
        <w:t>de respecter la date butoir du 1</w:t>
      </w:r>
      <w:r w:rsidRPr="00EF5D35">
        <w:rPr>
          <w:b/>
          <w:color w:val="365F91"/>
          <w:sz w:val="28"/>
          <w:szCs w:val="28"/>
          <w:vertAlign w:val="superscript"/>
        </w:rPr>
        <w:t>er</w:t>
      </w:r>
      <w:r w:rsidRPr="00EF5D35">
        <w:rPr>
          <w:b/>
          <w:color w:val="365F91"/>
          <w:sz w:val="28"/>
          <w:szCs w:val="28"/>
        </w:rPr>
        <w:t xml:space="preserve"> janvier 2015</w:t>
      </w:r>
    </w:p>
    <w:p w:rsidR="00DF36B0" w:rsidRPr="00EF5D35" w:rsidRDefault="00DF36B0" w:rsidP="00DF36B0">
      <w:pPr>
        <w:numPr>
          <w:ilvl w:val="0"/>
          <w:numId w:val="5"/>
        </w:numPr>
        <w:spacing w:after="0" w:line="240" w:lineRule="auto"/>
        <w:rPr>
          <w:b/>
          <w:color w:val="365F91"/>
          <w:sz w:val="28"/>
          <w:szCs w:val="28"/>
        </w:rPr>
      </w:pPr>
      <w:r w:rsidRPr="00EF5D35">
        <w:rPr>
          <w:b/>
          <w:color w:val="365F91"/>
          <w:sz w:val="28"/>
          <w:szCs w:val="28"/>
        </w:rPr>
        <w:t>d’appliquer toutes les normes de la loi à toutes les ERP</w:t>
      </w:r>
    </w:p>
    <w:p w:rsidR="00EF5D35" w:rsidRPr="00EF5D35" w:rsidRDefault="00EF5D35" w:rsidP="00EF5D35">
      <w:pPr>
        <w:spacing w:after="0" w:line="240" w:lineRule="auto"/>
        <w:ind w:left="1701"/>
      </w:pPr>
    </w:p>
    <w:p w:rsidR="00EF5D35" w:rsidRPr="00EF5D35" w:rsidRDefault="00EF5D35" w:rsidP="00EF5D35">
      <w:pPr>
        <w:spacing w:after="0" w:line="240" w:lineRule="auto"/>
        <w:ind w:left="1701"/>
      </w:pPr>
      <w:r w:rsidRPr="00EF5D35">
        <w:t xml:space="preserve">Des annonces ont été faites en février 2014 par le premier ministre : Il a été décidé de créer un </w:t>
      </w:r>
      <w:r w:rsidRPr="00EF5D35">
        <w:rPr>
          <w:rFonts w:eastAsia="Times New Roman" w:cs="LiberationSans"/>
          <w:b/>
          <w:color w:val="365F91"/>
          <w:lang w:eastAsia="fr-FR"/>
        </w:rPr>
        <w:t>Agenda d’accessibilité programmée (Ad’AP)</w:t>
      </w:r>
      <w:r w:rsidRPr="00EF5D35">
        <w:rPr>
          <w:rFonts w:eastAsia="Times New Roman" w:cs="LiberationSans"/>
          <w:lang w:eastAsia="fr-FR"/>
        </w:rPr>
        <w:t xml:space="preserve">, dont une </w:t>
      </w:r>
      <w:r w:rsidRPr="00EF5D35">
        <w:t>ordonnance gouvernementale doit préciser les délais et les nouveaux critères.</w:t>
      </w:r>
    </w:p>
    <w:p w:rsidR="00EF5D35" w:rsidRPr="00EF5D35" w:rsidRDefault="00EF5D35" w:rsidP="00EF5D35">
      <w:pPr>
        <w:spacing w:after="0" w:line="240" w:lineRule="auto"/>
        <w:ind w:left="1701"/>
        <w:rPr>
          <w:color w:val="365F91"/>
        </w:rPr>
      </w:pPr>
    </w:p>
    <w:p w:rsidR="00EF5D35" w:rsidRPr="00EF5D35" w:rsidRDefault="00EF5D35" w:rsidP="00EF5D35">
      <w:pPr>
        <w:spacing w:after="0" w:line="240" w:lineRule="auto"/>
        <w:ind w:left="1701"/>
      </w:pPr>
      <w:r w:rsidRPr="00EF5D35">
        <w:rPr>
          <w:b/>
          <w:color w:val="365F91"/>
        </w:rPr>
        <w:t>De ce fait, la date butoir est donc reportée jusqu’à 3 ans pour les ERP de 5</w:t>
      </w:r>
      <w:r w:rsidRPr="00EF5D35">
        <w:rPr>
          <w:b/>
          <w:color w:val="365F91"/>
          <w:vertAlign w:val="superscript"/>
        </w:rPr>
        <w:t>ème</w:t>
      </w:r>
      <w:r w:rsidRPr="00EF5D35">
        <w:rPr>
          <w:b/>
          <w:color w:val="365F91"/>
        </w:rPr>
        <w:t xml:space="preserve"> catégorie, sous réserve de produire devant la commission départementale de sécurité et d’accessibilité un calendrier prévisionnel avec le coût chiffré des travaux et d’en prouver l’avancement au fil du temps</w:t>
      </w:r>
      <w:r w:rsidRPr="00EF5D35">
        <w:t>.</w:t>
      </w:r>
    </w:p>
    <w:p w:rsidR="00EF5D35" w:rsidRPr="00EF5D35" w:rsidRDefault="00EF5D35" w:rsidP="00EF5D35">
      <w:pPr>
        <w:spacing w:after="0" w:line="240" w:lineRule="auto"/>
        <w:ind w:left="1701"/>
        <w:rPr>
          <w:color w:val="365F91"/>
        </w:rPr>
      </w:pPr>
    </w:p>
    <w:p w:rsidR="00EF5D35" w:rsidRPr="00EF5D35" w:rsidRDefault="00EF5D35" w:rsidP="00EF5D35">
      <w:pPr>
        <w:spacing w:after="0" w:line="240" w:lineRule="auto"/>
        <w:ind w:left="1701"/>
        <w:rPr>
          <w:rFonts w:eastAsia="Times New Roman"/>
          <w:b/>
          <w:color w:val="365F91"/>
          <w:sz w:val="24"/>
          <w:szCs w:val="24"/>
          <w:lang w:eastAsia="fr-FR"/>
        </w:rPr>
      </w:pPr>
      <w:r>
        <w:rPr>
          <w:rFonts w:eastAsia="Times New Roman"/>
          <w:b/>
          <w:color w:val="365F91"/>
          <w:sz w:val="24"/>
          <w:szCs w:val="24"/>
          <w:lang w:eastAsia="fr-FR"/>
        </w:rPr>
        <w:t>Qu’est-c</w:t>
      </w:r>
      <w:r w:rsidRPr="00EF5D35">
        <w:rPr>
          <w:rFonts w:eastAsia="Times New Roman"/>
          <w:b/>
          <w:color w:val="365F91"/>
          <w:sz w:val="24"/>
          <w:szCs w:val="24"/>
          <w:lang w:eastAsia="fr-FR"/>
        </w:rPr>
        <w:t>e</w:t>
      </w:r>
      <w:r w:rsidRPr="00EF5D35">
        <w:rPr>
          <w:rFonts w:eastAsia="Times New Roman"/>
          <w:b/>
          <w:color w:val="365F91"/>
          <w:sz w:val="24"/>
          <w:szCs w:val="24"/>
          <w:lang w:eastAsia="fr-FR"/>
        </w:rPr>
        <w:t xml:space="preserve"> qu’un Ad’AP ?</w:t>
      </w:r>
    </w:p>
    <w:p w:rsidR="009D37A9" w:rsidRDefault="009032C9" w:rsidP="00140F74">
      <w:pPr>
        <w:spacing w:after="0" w:line="240" w:lineRule="auto"/>
        <w:ind w:left="1701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 </w:t>
      </w:r>
      <w:r w:rsidRPr="009032C9">
        <w:rPr>
          <w:rFonts w:eastAsia="Times New Roman"/>
          <w:lang w:eastAsia="fr-FR"/>
        </w:rPr>
        <w:t xml:space="preserve">L’Ad’AP est un outil de stratégie patrimoniale de mise en accessibilité adossée à une </w:t>
      </w:r>
      <w:r w:rsidR="00140F74">
        <w:rPr>
          <w:rFonts w:eastAsia="Times New Roman"/>
          <w:lang w:eastAsia="fr-FR"/>
        </w:rPr>
        <w:t>p</w:t>
      </w:r>
      <w:r w:rsidR="00EF5D35" w:rsidRPr="00EF5D35">
        <w:rPr>
          <w:rFonts w:eastAsia="Times New Roman"/>
          <w:lang w:eastAsia="fr-FR"/>
        </w:rPr>
        <w:t>rogrammation budgétaire</w:t>
      </w:r>
      <w:r w:rsidR="00140F74">
        <w:rPr>
          <w:rFonts w:eastAsia="Times New Roman"/>
          <w:lang w:eastAsia="fr-FR"/>
        </w:rPr>
        <w:t xml:space="preserve"> </w:t>
      </w:r>
      <w:r w:rsidR="00EF5D35" w:rsidRPr="00EF5D35">
        <w:rPr>
          <w:rFonts w:eastAsia="Times New Roman"/>
          <w:lang w:eastAsia="fr-FR"/>
        </w:rPr>
        <w:t>pour</w:t>
      </w:r>
      <w:r w:rsidR="00140F74">
        <w:rPr>
          <w:rFonts w:eastAsia="Times New Roman"/>
          <w:lang w:eastAsia="fr-FR"/>
        </w:rPr>
        <w:t xml:space="preserve"> </w:t>
      </w:r>
      <w:r w:rsidR="00EF5D35" w:rsidRPr="00EF5D35">
        <w:rPr>
          <w:rFonts w:eastAsia="Times New Roman"/>
          <w:lang w:eastAsia="fr-FR"/>
        </w:rPr>
        <w:t>amplifier</w:t>
      </w:r>
      <w:r w:rsidR="00140F74">
        <w:rPr>
          <w:rFonts w:eastAsia="Times New Roman"/>
          <w:lang w:eastAsia="fr-FR"/>
        </w:rPr>
        <w:t xml:space="preserve"> </w:t>
      </w:r>
      <w:r w:rsidR="00EF5D35" w:rsidRPr="00EF5D35">
        <w:rPr>
          <w:rFonts w:eastAsia="Times New Roman"/>
          <w:lang w:eastAsia="fr-FR"/>
        </w:rPr>
        <w:t>après</w:t>
      </w:r>
      <w:r w:rsidR="00140F74">
        <w:rPr>
          <w:rFonts w:eastAsia="Times New Roman"/>
          <w:lang w:eastAsia="fr-FR"/>
        </w:rPr>
        <w:t xml:space="preserve"> </w:t>
      </w:r>
      <w:r w:rsidR="00EF5D35" w:rsidRPr="00EF5D35">
        <w:rPr>
          <w:rFonts w:eastAsia="Times New Roman"/>
          <w:lang w:eastAsia="fr-FR"/>
        </w:rPr>
        <w:t>2015</w:t>
      </w:r>
      <w:r w:rsidR="00140F74">
        <w:rPr>
          <w:rFonts w:eastAsia="Times New Roman"/>
          <w:lang w:eastAsia="fr-FR"/>
        </w:rPr>
        <w:t xml:space="preserve"> </w:t>
      </w:r>
      <w:r w:rsidR="00EF5D35" w:rsidRPr="00EF5D35">
        <w:rPr>
          <w:rFonts w:eastAsia="Times New Roman"/>
          <w:lang w:eastAsia="fr-FR"/>
        </w:rPr>
        <w:t>le</w:t>
      </w:r>
      <w:r w:rsidR="00140F74">
        <w:rPr>
          <w:rFonts w:eastAsia="Times New Roman"/>
          <w:lang w:eastAsia="fr-FR"/>
        </w:rPr>
        <w:t xml:space="preserve"> </w:t>
      </w:r>
      <w:r w:rsidR="00EF5D35" w:rsidRPr="00EF5D35">
        <w:rPr>
          <w:rFonts w:eastAsia="Times New Roman"/>
          <w:lang w:eastAsia="fr-FR"/>
        </w:rPr>
        <w:t>mouvement</w:t>
      </w:r>
      <w:r w:rsidR="00140F74">
        <w:rPr>
          <w:rFonts w:eastAsia="Times New Roman"/>
          <w:lang w:eastAsia="fr-FR"/>
        </w:rPr>
        <w:t xml:space="preserve"> </w:t>
      </w:r>
      <w:r w:rsidR="00EF5D35" w:rsidRPr="00EF5D35">
        <w:rPr>
          <w:rFonts w:eastAsia="Times New Roman"/>
          <w:lang w:eastAsia="fr-FR"/>
        </w:rPr>
        <w:t>initié</w:t>
      </w:r>
      <w:r w:rsidR="00140F74">
        <w:rPr>
          <w:rFonts w:eastAsia="Times New Roman"/>
          <w:lang w:eastAsia="fr-FR"/>
        </w:rPr>
        <w:t xml:space="preserve"> </w:t>
      </w:r>
      <w:r w:rsidR="00EF5D35" w:rsidRPr="00EF5D35">
        <w:rPr>
          <w:rFonts w:eastAsia="Times New Roman"/>
          <w:lang w:eastAsia="fr-FR"/>
        </w:rPr>
        <w:t>par</w:t>
      </w:r>
      <w:r w:rsidR="00140F74">
        <w:rPr>
          <w:rFonts w:eastAsia="Times New Roman"/>
          <w:lang w:eastAsia="fr-FR"/>
        </w:rPr>
        <w:t xml:space="preserve"> </w:t>
      </w:r>
      <w:r w:rsidR="00EF5D35" w:rsidRPr="00EF5D35">
        <w:rPr>
          <w:rFonts w:eastAsia="Times New Roman"/>
          <w:lang w:eastAsia="fr-FR"/>
        </w:rPr>
        <w:t>la</w:t>
      </w:r>
      <w:r w:rsidR="00140F74">
        <w:rPr>
          <w:rFonts w:eastAsia="Times New Roman"/>
          <w:lang w:eastAsia="fr-FR"/>
        </w:rPr>
        <w:t xml:space="preserve"> </w:t>
      </w:r>
      <w:r w:rsidR="00EF5D35" w:rsidRPr="00EF5D35">
        <w:rPr>
          <w:rFonts w:eastAsia="Times New Roman"/>
          <w:lang w:eastAsia="fr-FR"/>
        </w:rPr>
        <w:t>loi</w:t>
      </w:r>
      <w:r w:rsidR="00140F74">
        <w:rPr>
          <w:rFonts w:eastAsia="Times New Roman"/>
          <w:lang w:eastAsia="fr-FR"/>
        </w:rPr>
        <w:t xml:space="preserve"> </w:t>
      </w:r>
      <w:r w:rsidR="00EF5D35" w:rsidRPr="00EF5D35">
        <w:rPr>
          <w:rFonts w:eastAsia="Times New Roman"/>
          <w:lang w:eastAsia="fr-FR"/>
        </w:rPr>
        <w:t>de</w:t>
      </w:r>
      <w:r w:rsidR="00140F74">
        <w:rPr>
          <w:rFonts w:eastAsia="Times New Roman"/>
          <w:lang w:eastAsia="fr-FR"/>
        </w:rPr>
        <w:t xml:space="preserve"> </w:t>
      </w:r>
      <w:r w:rsidR="00EF5D35" w:rsidRPr="00EF5D35">
        <w:rPr>
          <w:rFonts w:eastAsia="Times New Roman"/>
          <w:lang w:eastAsia="fr-FR"/>
        </w:rPr>
        <w:t>2005.</w:t>
      </w:r>
      <w:r w:rsidR="009D37A9">
        <w:rPr>
          <w:rFonts w:eastAsia="Times New Roman"/>
          <w:lang w:eastAsia="fr-FR"/>
        </w:rPr>
        <w:t xml:space="preserve"> </w:t>
      </w:r>
      <w:r w:rsidR="00EF5D35" w:rsidRPr="00EF5D35">
        <w:rPr>
          <w:rFonts w:eastAsia="Times New Roman"/>
          <w:b/>
          <w:color w:val="365F91" w:themeColor="accent1" w:themeShade="BF"/>
          <w:lang w:eastAsia="fr-FR"/>
        </w:rPr>
        <w:t>Il</w:t>
      </w:r>
      <w:r w:rsidR="00140F74" w:rsidRPr="009D37A9">
        <w:rPr>
          <w:rFonts w:eastAsia="Times New Roman"/>
          <w:b/>
          <w:color w:val="365F91" w:themeColor="accent1" w:themeShade="BF"/>
          <w:lang w:eastAsia="fr-FR"/>
        </w:rPr>
        <w:t xml:space="preserve"> </w:t>
      </w:r>
      <w:r w:rsidR="00EF5D35" w:rsidRPr="00EF5D35">
        <w:rPr>
          <w:rFonts w:eastAsia="Times New Roman"/>
          <w:b/>
          <w:color w:val="365F91" w:themeColor="accent1" w:themeShade="BF"/>
          <w:lang w:eastAsia="fr-FR"/>
        </w:rPr>
        <w:t>est</w:t>
      </w:r>
      <w:r w:rsidR="00140F74" w:rsidRPr="009D37A9">
        <w:rPr>
          <w:rFonts w:eastAsia="Times New Roman"/>
          <w:b/>
          <w:color w:val="365F91" w:themeColor="accent1" w:themeShade="BF"/>
          <w:lang w:eastAsia="fr-FR"/>
        </w:rPr>
        <w:t xml:space="preserve"> </w:t>
      </w:r>
      <w:r w:rsidR="00EF5D35" w:rsidRPr="00EF5D35">
        <w:rPr>
          <w:rFonts w:eastAsia="Times New Roman"/>
          <w:b/>
          <w:color w:val="365F91" w:themeColor="accent1" w:themeShade="BF"/>
          <w:lang w:eastAsia="fr-FR"/>
        </w:rPr>
        <w:t>d’application</w:t>
      </w:r>
      <w:r w:rsidR="00140F74" w:rsidRPr="009D37A9">
        <w:rPr>
          <w:rFonts w:eastAsia="Times New Roman"/>
          <w:b/>
          <w:color w:val="365F91" w:themeColor="accent1" w:themeShade="BF"/>
          <w:lang w:eastAsia="fr-FR"/>
        </w:rPr>
        <w:t xml:space="preserve"> </w:t>
      </w:r>
      <w:r w:rsidR="00EF5D35" w:rsidRPr="00EF5D35">
        <w:rPr>
          <w:rFonts w:eastAsia="Times New Roman"/>
          <w:b/>
          <w:color w:val="365F91" w:themeColor="accent1" w:themeShade="BF"/>
          <w:lang w:eastAsia="fr-FR"/>
        </w:rPr>
        <w:t>volontaire</w:t>
      </w:r>
      <w:r w:rsidR="00EF5D35" w:rsidRPr="00EF5D35">
        <w:rPr>
          <w:rFonts w:eastAsia="Times New Roman"/>
          <w:lang w:eastAsia="fr-FR"/>
        </w:rPr>
        <w:t>.</w:t>
      </w:r>
    </w:p>
    <w:p w:rsidR="00EF5D35" w:rsidRDefault="00EF5D35" w:rsidP="00140F74">
      <w:pPr>
        <w:spacing w:after="0" w:line="240" w:lineRule="auto"/>
        <w:ind w:left="1701"/>
        <w:rPr>
          <w:rFonts w:eastAsia="Times New Roman"/>
          <w:lang w:eastAsia="fr-FR"/>
        </w:rPr>
      </w:pPr>
      <w:r w:rsidRPr="00EF5D35">
        <w:rPr>
          <w:rFonts w:eastAsia="Times New Roman"/>
          <w:lang w:eastAsia="fr-FR"/>
        </w:rPr>
        <w:t>Il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>suspend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>l’application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>de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>l’article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>L 152</w:t>
      </w:r>
      <w:r w:rsidRPr="00EF5D35">
        <w:rPr>
          <w:rFonts w:eastAsia="Times New Roman"/>
          <w:lang w:eastAsia="fr-FR"/>
        </w:rPr>
        <w:softHyphen/>
        <w:t>4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>du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>code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>de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>la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>construction et de l’habitation (CCH), qui prévoit une sanction pénale.</w:t>
      </w:r>
    </w:p>
    <w:p w:rsidR="009032C9" w:rsidRPr="00EF5D35" w:rsidRDefault="009032C9" w:rsidP="009032C9">
      <w:pPr>
        <w:spacing w:after="0" w:line="240" w:lineRule="auto"/>
        <w:ind w:left="1701"/>
        <w:rPr>
          <w:rFonts w:eastAsia="Times New Roman"/>
          <w:lang w:eastAsia="fr-FR"/>
        </w:rPr>
      </w:pPr>
    </w:p>
    <w:p w:rsidR="00EF5D35" w:rsidRPr="00EF5D35" w:rsidRDefault="00EF5D35" w:rsidP="00EF5D35">
      <w:pPr>
        <w:spacing w:after="0" w:line="240" w:lineRule="auto"/>
        <w:ind w:left="1701"/>
        <w:rPr>
          <w:rFonts w:eastAsia="Times New Roman"/>
          <w:b/>
          <w:color w:val="365F91"/>
          <w:sz w:val="24"/>
          <w:szCs w:val="24"/>
          <w:lang w:eastAsia="fr-FR"/>
        </w:rPr>
      </w:pPr>
      <w:r w:rsidRPr="00EF5D35">
        <w:rPr>
          <w:rFonts w:eastAsia="Times New Roman"/>
          <w:b/>
          <w:bCs/>
          <w:color w:val="365F91"/>
          <w:sz w:val="24"/>
          <w:szCs w:val="24"/>
          <w:lang w:eastAsia="fr-FR"/>
        </w:rPr>
        <w:t>Les échéances</w:t>
      </w:r>
    </w:p>
    <w:p w:rsidR="00EF5D35" w:rsidRPr="00EF5D35" w:rsidRDefault="00EF5D35" w:rsidP="00EF5D35">
      <w:pPr>
        <w:numPr>
          <w:ilvl w:val="0"/>
          <w:numId w:val="11"/>
        </w:numPr>
        <w:spacing w:after="0" w:line="240" w:lineRule="auto"/>
        <w:ind w:left="2127"/>
        <w:rPr>
          <w:rFonts w:eastAsia="Times New Roman"/>
          <w:lang w:eastAsia="fr-FR"/>
        </w:rPr>
      </w:pPr>
      <w:r w:rsidRPr="00EF5D35">
        <w:rPr>
          <w:rFonts w:eastAsia="Times New Roman"/>
          <w:lang w:eastAsia="fr-FR"/>
        </w:rPr>
        <w:t>Eté 2014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>: Publication d</w:t>
      </w:r>
      <w:r w:rsidR="00DF36B0">
        <w:rPr>
          <w:rFonts w:eastAsia="Times New Roman"/>
          <w:lang w:eastAsia="fr-FR"/>
        </w:rPr>
        <w:t>’une</w:t>
      </w:r>
      <w:r w:rsidRPr="00EF5D35">
        <w:rPr>
          <w:rFonts w:eastAsia="Times New Roman"/>
          <w:lang w:eastAsia="fr-FR"/>
        </w:rPr>
        <w:t xml:space="preserve"> </w:t>
      </w:r>
      <w:r w:rsidR="00DF36B0">
        <w:rPr>
          <w:rFonts w:eastAsia="Times New Roman"/>
          <w:lang w:eastAsia="fr-FR"/>
        </w:rPr>
        <w:t>o</w:t>
      </w:r>
      <w:r w:rsidRPr="00EF5D35">
        <w:rPr>
          <w:rFonts w:eastAsia="Times New Roman"/>
          <w:lang w:eastAsia="fr-FR"/>
        </w:rPr>
        <w:t>rdonnance</w:t>
      </w:r>
      <w:r w:rsidR="00DF36B0">
        <w:rPr>
          <w:rFonts w:eastAsia="Times New Roman"/>
          <w:lang w:eastAsia="fr-FR"/>
        </w:rPr>
        <w:t xml:space="preserve"> officialisant  la modification du calendrier et des critères d’application des normes d’accessibilité.</w:t>
      </w:r>
    </w:p>
    <w:p w:rsidR="00EF5D35" w:rsidRPr="00EF5D35" w:rsidRDefault="00EF5D35" w:rsidP="00EF5D35">
      <w:pPr>
        <w:numPr>
          <w:ilvl w:val="0"/>
          <w:numId w:val="11"/>
        </w:numPr>
        <w:spacing w:after="0" w:line="240" w:lineRule="auto"/>
        <w:ind w:left="2127"/>
        <w:rPr>
          <w:rFonts w:eastAsia="Times New Roman"/>
          <w:lang w:eastAsia="fr-FR"/>
        </w:rPr>
      </w:pPr>
      <w:r w:rsidRPr="00EF5D35">
        <w:rPr>
          <w:rFonts w:eastAsia="Times New Roman"/>
          <w:lang w:eastAsia="fr-FR"/>
        </w:rPr>
        <w:t>31 décembre 2014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>: Date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>limite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>de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>dépôt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>d’</w:t>
      </w:r>
      <w:r w:rsidR="00DF36B0">
        <w:rPr>
          <w:rFonts w:eastAsia="Times New Roman"/>
          <w:lang w:eastAsia="fr-FR"/>
        </w:rPr>
        <w:t xml:space="preserve">un </w:t>
      </w:r>
      <w:r w:rsidRPr="00EF5D35">
        <w:rPr>
          <w:rFonts w:eastAsia="Times New Roman"/>
          <w:lang w:eastAsia="fr-FR"/>
        </w:rPr>
        <w:t>engagement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>dans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>une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>procédure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>d’Ad’AP</w:t>
      </w:r>
      <w:r w:rsidR="00DF36B0">
        <w:rPr>
          <w:rFonts w:eastAsia="Times New Roman"/>
          <w:lang w:eastAsia="fr-FR"/>
        </w:rPr>
        <w:t>.</w:t>
      </w:r>
    </w:p>
    <w:p w:rsidR="00EF5D35" w:rsidRPr="00EF5D35" w:rsidRDefault="00EF5D35" w:rsidP="00EF5D35">
      <w:pPr>
        <w:numPr>
          <w:ilvl w:val="0"/>
          <w:numId w:val="11"/>
        </w:numPr>
        <w:spacing w:after="0" w:line="240" w:lineRule="auto"/>
        <w:ind w:left="2127"/>
        <w:rPr>
          <w:rFonts w:eastAsia="Times New Roman"/>
          <w:lang w:eastAsia="fr-FR"/>
        </w:rPr>
      </w:pPr>
      <w:r w:rsidRPr="00EF5D35">
        <w:rPr>
          <w:rFonts w:eastAsia="Times New Roman"/>
          <w:lang w:eastAsia="fr-FR"/>
        </w:rPr>
        <w:t>Un an après la publication de l’ordonnance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 xml:space="preserve">: Date limite de dépôt de l’Ad’AP complet – avec </w:t>
      </w:r>
      <w:r w:rsidRPr="00EF5D35">
        <w:t>calendrier et demandes de dérogations.</w:t>
      </w:r>
    </w:p>
    <w:p w:rsidR="00EF5D35" w:rsidRPr="00EF5D35" w:rsidRDefault="00EF5D35" w:rsidP="00EF5D35">
      <w:pPr>
        <w:spacing w:after="0" w:line="240" w:lineRule="auto"/>
        <w:ind w:left="1701"/>
        <w:rPr>
          <w:rFonts w:eastAsia="Times New Roman"/>
          <w:lang w:eastAsia="fr-FR"/>
        </w:rPr>
      </w:pPr>
    </w:p>
    <w:p w:rsidR="00EF5D35" w:rsidRPr="00EF5D35" w:rsidRDefault="00EF5D35" w:rsidP="00EF5D35">
      <w:pPr>
        <w:spacing w:after="0" w:line="240" w:lineRule="auto"/>
        <w:ind w:left="1701"/>
        <w:rPr>
          <w:rFonts w:eastAsia="Times New Roman"/>
          <w:lang w:eastAsia="fr-FR"/>
        </w:rPr>
      </w:pPr>
      <w:r w:rsidRPr="00EF5D35">
        <w:rPr>
          <w:rFonts w:eastAsia="Times New Roman"/>
          <w:b/>
          <w:color w:val="365F91"/>
          <w:sz w:val="24"/>
          <w:szCs w:val="24"/>
          <w:lang w:eastAsia="fr-FR"/>
        </w:rPr>
        <w:t>La procédure</w:t>
      </w:r>
      <w:r w:rsidRPr="00EF5D35">
        <w:rPr>
          <w:rFonts w:eastAsia="Times New Roman"/>
          <w:lang w:eastAsia="fr-FR"/>
        </w:rPr>
        <w:t xml:space="preserve"> </w:t>
      </w:r>
    </w:p>
    <w:p w:rsidR="00140F74" w:rsidRDefault="00EF5D35" w:rsidP="00EF5D35">
      <w:pPr>
        <w:spacing w:after="0" w:line="240" w:lineRule="auto"/>
        <w:ind w:left="1701"/>
        <w:rPr>
          <w:rFonts w:eastAsia="Times New Roman"/>
          <w:lang w:eastAsia="fr-FR"/>
        </w:rPr>
      </w:pPr>
      <w:r w:rsidRPr="00EF5D35">
        <w:rPr>
          <w:rFonts w:eastAsia="Times New Roman"/>
          <w:lang w:eastAsia="fr-FR"/>
        </w:rPr>
        <w:t>L’Ad’AP sera à déposer en deux exemplaires à la mairie: un pour la CAPH (Commission pour l’Accessibilité aux Personnes Handicapées) et un qui sera</w:t>
      </w:r>
    </w:p>
    <w:p w:rsidR="00EF5D35" w:rsidRPr="00EF5D35" w:rsidRDefault="00DF36B0" w:rsidP="00EF5D35">
      <w:pPr>
        <w:spacing w:after="0" w:line="240" w:lineRule="auto"/>
        <w:ind w:left="1701"/>
        <w:rPr>
          <w:rFonts w:eastAsia="Times New Roman"/>
          <w:lang w:eastAsia="fr-FR"/>
        </w:rPr>
      </w:pPr>
      <w:r w:rsidRPr="00EF5D35">
        <w:rPr>
          <w:rFonts w:eastAsia="Times New Roman"/>
          <w:lang w:eastAsia="fr-FR"/>
        </w:rPr>
        <w:t>réacheminé</w:t>
      </w:r>
      <w:r w:rsidR="00EF5D35" w:rsidRPr="00EF5D35">
        <w:rPr>
          <w:rFonts w:eastAsia="Times New Roman"/>
          <w:lang w:eastAsia="fr-FR"/>
        </w:rPr>
        <w:t xml:space="preserve"> sans délai au préfet. </w:t>
      </w:r>
    </w:p>
    <w:p w:rsidR="00EF5D35" w:rsidRDefault="00EF5D35" w:rsidP="00EF5D35">
      <w:pPr>
        <w:spacing w:after="0" w:line="240" w:lineRule="auto"/>
        <w:ind w:left="1701"/>
        <w:rPr>
          <w:rFonts w:eastAsia="Times New Roman"/>
          <w:lang w:eastAsia="fr-FR"/>
        </w:rPr>
      </w:pPr>
    </w:p>
    <w:p w:rsidR="00EF5D35" w:rsidRDefault="00EF5D35" w:rsidP="00EF5D35">
      <w:pPr>
        <w:spacing w:after="0" w:line="240" w:lineRule="auto"/>
        <w:ind w:left="1701"/>
        <w:rPr>
          <w:rFonts w:eastAsia="Times New Roman"/>
          <w:lang w:eastAsia="fr-FR"/>
        </w:rPr>
      </w:pPr>
    </w:p>
    <w:p w:rsidR="00DF36B0" w:rsidRPr="00EF5D35" w:rsidRDefault="00DF36B0" w:rsidP="00EF5D35">
      <w:pPr>
        <w:spacing w:after="0" w:line="240" w:lineRule="auto"/>
        <w:ind w:left="1701"/>
        <w:rPr>
          <w:rFonts w:eastAsia="Times New Roman"/>
          <w:lang w:eastAsia="fr-FR"/>
        </w:rPr>
      </w:pPr>
    </w:p>
    <w:p w:rsidR="00EF5D35" w:rsidRPr="00EF5D35" w:rsidRDefault="00EF5D35" w:rsidP="00EF5D35">
      <w:pPr>
        <w:spacing w:after="0" w:line="240" w:lineRule="auto"/>
        <w:ind w:left="1701"/>
        <w:rPr>
          <w:rFonts w:eastAsia="Times New Roman"/>
          <w:b/>
          <w:color w:val="365F91"/>
          <w:sz w:val="24"/>
          <w:szCs w:val="24"/>
          <w:lang w:eastAsia="fr-FR"/>
        </w:rPr>
      </w:pPr>
      <w:r w:rsidRPr="00EF5D35">
        <w:rPr>
          <w:rFonts w:eastAsia="Times New Roman"/>
          <w:b/>
          <w:bCs/>
          <w:color w:val="365F91"/>
          <w:sz w:val="24"/>
          <w:szCs w:val="24"/>
          <w:lang w:eastAsia="fr-FR"/>
        </w:rPr>
        <w:lastRenderedPageBreak/>
        <w:t>La durée</w:t>
      </w:r>
    </w:p>
    <w:p w:rsidR="00140F74" w:rsidRDefault="00EF5D35" w:rsidP="00EF5D35">
      <w:pPr>
        <w:spacing w:after="0" w:line="240" w:lineRule="auto"/>
        <w:ind w:left="1701"/>
        <w:rPr>
          <w:rFonts w:eastAsia="Times New Roman"/>
          <w:lang w:eastAsia="fr-FR"/>
        </w:rPr>
      </w:pPr>
      <w:r w:rsidRPr="00EF5D35">
        <w:rPr>
          <w:rFonts w:eastAsia="Times New Roman"/>
          <w:lang w:eastAsia="fr-FR"/>
        </w:rPr>
        <w:t>Pour prolonger la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 xml:space="preserve">dynamique impulsée par la loi de 2005 </w:t>
      </w:r>
      <w:r w:rsidR="00140F74" w:rsidRPr="00EF5D35">
        <w:rPr>
          <w:rFonts w:eastAsia="Times New Roman"/>
          <w:lang w:eastAsia="fr-FR"/>
        </w:rPr>
        <w:t>au-delà</w:t>
      </w:r>
      <w:r w:rsidR="00140F74">
        <w:rPr>
          <w:rFonts w:eastAsia="Times New Roman"/>
          <w:lang w:eastAsia="fr-FR"/>
        </w:rPr>
        <w:t xml:space="preserve"> de</w:t>
      </w:r>
      <w:r w:rsidRPr="00EF5D35">
        <w:rPr>
          <w:rFonts w:eastAsia="Times New Roman"/>
          <w:lang w:eastAsia="fr-FR"/>
        </w:rPr>
        <w:t xml:space="preserve"> 2015,</w:t>
      </w:r>
      <w:r w:rsidR="00140F74">
        <w:rPr>
          <w:rFonts w:eastAsia="Times New Roman"/>
          <w:lang w:eastAsia="fr-FR"/>
        </w:rPr>
        <w:t xml:space="preserve"> les</w:t>
      </w:r>
      <w:r w:rsidRPr="00EF5D35">
        <w:rPr>
          <w:rFonts w:eastAsia="Times New Roman"/>
          <w:lang w:eastAsia="fr-FR"/>
        </w:rPr>
        <w:t xml:space="preserve"> agendas d’accessibilité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>programmée doivent comporter  une durée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>conciliant l’objectif  d’accessibilité et les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>capacités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>des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>maîtres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>d’ouvrage.</w:t>
      </w:r>
    </w:p>
    <w:p w:rsidR="00EF5D35" w:rsidRPr="00EF5D35" w:rsidRDefault="00EF5D35" w:rsidP="00EF5D35">
      <w:pPr>
        <w:spacing w:after="0" w:line="240" w:lineRule="auto"/>
        <w:ind w:left="1701"/>
        <w:rPr>
          <w:rFonts w:eastAsia="Times New Roman"/>
          <w:b/>
          <w:color w:val="365F91"/>
          <w:sz w:val="24"/>
          <w:szCs w:val="24"/>
          <w:lang w:eastAsia="fr-FR"/>
        </w:rPr>
      </w:pPr>
    </w:p>
    <w:p w:rsidR="00EF5D35" w:rsidRPr="00EF5D35" w:rsidRDefault="00EF5D35" w:rsidP="00EF5D35">
      <w:pPr>
        <w:spacing w:after="0" w:line="240" w:lineRule="auto"/>
        <w:ind w:left="1701"/>
        <w:rPr>
          <w:rFonts w:eastAsia="Times New Roman"/>
          <w:b/>
          <w:color w:val="365F91"/>
          <w:sz w:val="24"/>
          <w:szCs w:val="24"/>
          <w:lang w:eastAsia="fr-FR"/>
        </w:rPr>
      </w:pPr>
      <w:r w:rsidRPr="00EF5D35">
        <w:rPr>
          <w:rFonts w:eastAsia="Times New Roman"/>
          <w:b/>
          <w:color w:val="365F91"/>
          <w:sz w:val="24"/>
          <w:szCs w:val="24"/>
          <w:lang w:eastAsia="fr-FR"/>
        </w:rPr>
        <w:t>Le contenu d’un Ad’AP</w:t>
      </w:r>
    </w:p>
    <w:p w:rsidR="00EF5D35" w:rsidRPr="00EF5D35" w:rsidRDefault="00EF5D35" w:rsidP="00EF5D35">
      <w:pPr>
        <w:numPr>
          <w:ilvl w:val="0"/>
          <w:numId w:val="12"/>
        </w:numPr>
        <w:spacing w:after="0" w:line="240" w:lineRule="auto"/>
        <w:rPr>
          <w:rFonts w:eastAsia="Times New Roman"/>
          <w:lang w:eastAsia="fr-FR"/>
        </w:rPr>
      </w:pPr>
      <w:r w:rsidRPr="00EF5D35">
        <w:rPr>
          <w:rFonts w:eastAsia="Times New Roman"/>
          <w:lang w:eastAsia="fr-FR"/>
        </w:rPr>
        <w:t xml:space="preserve">Un engagement de mise en accessibilité de l’ERP pour tous </w:t>
      </w:r>
    </w:p>
    <w:p w:rsidR="00EF5D35" w:rsidRPr="00EF5D35" w:rsidRDefault="00EF5D35" w:rsidP="00EF5D35">
      <w:pPr>
        <w:numPr>
          <w:ilvl w:val="0"/>
          <w:numId w:val="12"/>
        </w:numPr>
        <w:spacing w:after="0" w:line="240" w:lineRule="auto"/>
        <w:rPr>
          <w:rFonts w:eastAsia="Times New Roman"/>
          <w:lang w:eastAsia="fr-FR"/>
        </w:rPr>
      </w:pPr>
      <w:r w:rsidRPr="00EF5D35">
        <w:rPr>
          <w:rFonts w:eastAsia="Times New Roman"/>
          <w:lang w:eastAsia="fr-FR"/>
        </w:rPr>
        <w:t>Le niveau originel d’accessibilité de l’ERP</w:t>
      </w:r>
    </w:p>
    <w:p w:rsidR="00EF5D35" w:rsidRPr="00EF5D35" w:rsidRDefault="00EF5D35" w:rsidP="00EF5D35">
      <w:pPr>
        <w:numPr>
          <w:ilvl w:val="0"/>
          <w:numId w:val="12"/>
        </w:numPr>
        <w:spacing w:after="0" w:line="240" w:lineRule="auto"/>
        <w:rPr>
          <w:rFonts w:eastAsia="Times New Roman"/>
          <w:lang w:eastAsia="fr-FR"/>
        </w:rPr>
      </w:pPr>
      <w:proofErr w:type="spellStart"/>
      <w:r w:rsidRPr="00EF5D35">
        <w:rPr>
          <w:rFonts w:eastAsia="Times New Roman"/>
          <w:lang w:eastAsia="fr-FR"/>
        </w:rPr>
        <w:t>La</w:t>
      </w:r>
      <w:proofErr w:type="spellEnd"/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>ou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>(les)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>demande(s)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>de dérogations</w:t>
      </w:r>
    </w:p>
    <w:p w:rsidR="00EF5D35" w:rsidRPr="00EF5D35" w:rsidRDefault="00EF5D35" w:rsidP="00EF5D35">
      <w:pPr>
        <w:numPr>
          <w:ilvl w:val="0"/>
          <w:numId w:val="12"/>
        </w:numPr>
        <w:spacing w:after="0" w:line="240" w:lineRule="auto"/>
        <w:rPr>
          <w:rFonts w:eastAsia="Times New Roman"/>
          <w:lang w:eastAsia="fr-FR"/>
        </w:rPr>
      </w:pPr>
      <w:r w:rsidRPr="00EF5D35">
        <w:rPr>
          <w:rFonts w:eastAsia="Times New Roman"/>
          <w:lang w:eastAsia="fr-FR"/>
        </w:rPr>
        <w:t xml:space="preserve">Le calendrier des travaux à engager pour la mise en accessibilité et leur chiffrage </w:t>
      </w:r>
    </w:p>
    <w:p w:rsidR="00EF5D35" w:rsidRPr="00EF5D35" w:rsidRDefault="00EF5D35" w:rsidP="00EF5D35">
      <w:pPr>
        <w:numPr>
          <w:ilvl w:val="0"/>
          <w:numId w:val="12"/>
        </w:numPr>
        <w:spacing w:after="0" w:line="240" w:lineRule="auto"/>
        <w:rPr>
          <w:rFonts w:eastAsia="Times New Roman"/>
          <w:lang w:eastAsia="fr-FR"/>
        </w:rPr>
      </w:pPr>
      <w:r w:rsidRPr="00EF5D35">
        <w:rPr>
          <w:rFonts w:eastAsia="Times New Roman"/>
          <w:lang w:eastAsia="fr-FR"/>
        </w:rPr>
        <w:t>Une programmation pluriannuelle d’investissement</w:t>
      </w:r>
    </w:p>
    <w:p w:rsidR="00EF5D35" w:rsidRPr="00EF5D35" w:rsidRDefault="00EF5D35" w:rsidP="00EF5D35">
      <w:pPr>
        <w:pStyle w:val="Paragraphedeliste"/>
        <w:numPr>
          <w:ilvl w:val="0"/>
          <w:numId w:val="12"/>
        </w:numPr>
        <w:spacing w:after="0" w:line="240" w:lineRule="auto"/>
        <w:rPr>
          <w:rFonts w:eastAsia="Times New Roman"/>
          <w:lang w:eastAsia="fr-FR"/>
        </w:rPr>
      </w:pPr>
      <w:r w:rsidRPr="00EF5D35">
        <w:rPr>
          <w:rFonts w:eastAsia="Times New Roman"/>
          <w:lang w:eastAsia="fr-FR"/>
        </w:rPr>
        <w:t>L’engagement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>signé du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>(ou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>des)</w:t>
      </w:r>
      <w:r w:rsidR="00140F74">
        <w:rPr>
          <w:rFonts w:eastAsia="Times New Roman"/>
          <w:lang w:eastAsia="fr-FR"/>
        </w:rPr>
        <w:t xml:space="preserve"> </w:t>
      </w:r>
      <w:r w:rsidRPr="00EF5D35">
        <w:rPr>
          <w:rFonts w:eastAsia="Times New Roman"/>
          <w:lang w:eastAsia="fr-FR"/>
        </w:rPr>
        <w:t>financeur(s).</w:t>
      </w:r>
    </w:p>
    <w:p w:rsidR="00EF5D35" w:rsidRPr="00EF5D35" w:rsidRDefault="00EF5D35" w:rsidP="00EF5D35">
      <w:pPr>
        <w:spacing w:after="0" w:line="240" w:lineRule="auto"/>
        <w:ind w:left="2410"/>
        <w:rPr>
          <w:rFonts w:eastAsia="Times New Roman"/>
          <w:lang w:eastAsia="fr-FR"/>
        </w:rPr>
      </w:pPr>
    </w:p>
    <w:p w:rsidR="00EF5D35" w:rsidRPr="00EF5D35" w:rsidRDefault="00EF5D35" w:rsidP="00EF5D35">
      <w:pPr>
        <w:spacing w:after="0" w:line="240" w:lineRule="auto"/>
        <w:ind w:left="1701"/>
        <w:rPr>
          <w:rFonts w:eastAsia="Times New Roman"/>
          <w:lang w:eastAsia="fr-FR"/>
        </w:rPr>
      </w:pPr>
      <w:r w:rsidRPr="00EF5D35">
        <w:rPr>
          <w:rFonts w:eastAsia="Times New Roman"/>
          <w:bCs/>
          <w:lang w:eastAsia="fr-FR"/>
        </w:rPr>
        <w:t>Il est prévu une simplification de la demande d’autorisation de travaux pour les ERP de 5</w:t>
      </w:r>
      <w:r w:rsidRPr="00EF5D35">
        <w:rPr>
          <w:rFonts w:eastAsia="Times New Roman"/>
          <w:bCs/>
          <w:vertAlign w:val="superscript"/>
          <w:lang w:eastAsia="fr-FR"/>
        </w:rPr>
        <w:t>ème</w:t>
      </w:r>
      <w:r w:rsidRPr="00EF5D35">
        <w:rPr>
          <w:rFonts w:eastAsia="Times New Roman"/>
          <w:bCs/>
          <w:lang w:eastAsia="fr-FR"/>
        </w:rPr>
        <w:t xml:space="preserve"> catégorie (lisibilité du CERFA, liste des pièces justificatives demandées…) </w:t>
      </w:r>
    </w:p>
    <w:p w:rsidR="00EF5D35" w:rsidRPr="00EF5D35" w:rsidRDefault="00EF5D35" w:rsidP="00EF5D35">
      <w:pPr>
        <w:spacing w:after="0" w:line="240" w:lineRule="auto"/>
        <w:ind w:left="1701"/>
        <w:rPr>
          <w:rFonts w:eastAsia="Times New Roman"/>
          <w:lang w:eastAsia="fr-FR"/>
        </w:rPr>
      </w:pPr>
      <w:r w:rsidRPr="00EF5D35">
        <w:rPr>
          <w:rFonts w:eastAsia="Times New Roman"/>
          <w:lang w:eastAsia="fr-FR"/>
        </w:rPr>
        <w:t>Le dossier de dérogation sera déposé en mairie, puis il sera transmis à la sous-commission départementale d’accessibilité qui l’étudiera pour obtenir la validation du préfet.</w:t>
      </w:r>
    </w:p>
    <w:p w:rsidR="00EF5D35" w:rsidRPr="00EF5D35" w:rsidRDefault="00EF5D35" w:rsidP="00EF5D35">
      <w:pPr>
        <w:spacing w:after="0" w:line="240" w:lineRule="auto"/>
        <w:ind w:left="1701"/>
        <w:rPr>
          <w:rFonts w:eastAsia="Times New Roman"/>
          <w:lang w:eastAsia="fr-FR"/>
        </w:rPr>
      </w:pPr>
    </w:p>
    <w:p w:rsidR="00EF5D35" w:rsidRPr="00EF5D35" w:rsidRDefault="00EF5D35" w:rsidP="00EF5D35">
      <w:pPr>
        <w:spacing w:after="0" w:line="240" w:lineRule="auto"/>
        <w:ind w:left="1701"/>
        <w:rPr>
          <w:b/>
          <w:color w:val="365F91"/>
        </w:rPr>
      </w:pPr>
      <w:r w:rsidRPr="00EF5D35">
        <w:rPr>
          <w:b/>
          <w:color w:val="365F91"/>
        </w:rPr>
        <w:t xml:space="preserve">Parallèlement à ce délai supplémentaire, certaines normes devraient être assouplies et les avis des commissions rendues homogènes sur l’ensemble du territoire. </w:t>
      </w:r>
    </w:p>
    <w:p w:rsidR="00EF5D35" w:rsidRPr="00EF5D35" w:rsidRDefault="00EF5D35" w:rsidP="00EF5D35">
      <w:pPr>
        <w:spacing w:after="0" w:line="240" w:lineRule="auto"/>
        <w:ind w:left="1701"/>
        <w:rPr>
          <w:color w:val="365F91"/>
        </w:rPr>
      </w:pPr>
    </w:p>
    <w:p w:rsidR="00EF5D35" w:rsidRPr="00EF5D35" w:rsidRDefault="00EF5D35" w:rsidP="00EF5D35">
      <w:pPr>
        <w:spacing w:after="0" w:line="240" w:lineRule="auto"/>
        <w:ind w:left="1701"/>
      </w:pPr>
      <w:r w:rsidRPr="00EF5D35">
        <w:t xml:space="preserve">Les dernières informations rendues publiques par le premier ministre, sous réserve de leur confirmation dans </w:t>
      </w:r>
      <w:r w:rsidR="00DF36B0">
        <w:t>l’</w:t>
      </w:r>
      <w:r w:rsidRPr="00EF5D35">
        <w:t>ordonnan</w:t>
      </w:r>
      <w:r w:rsidR="00140F74">
        <w:t>ce gouvernementale, portent sur</w:t>
      </w:r>
      <w:r w:rsidRPr="00EF5D35">
        <w:t xml:space="preserve">: </w:t>
      </w:r>
    </w:p>
    <w:p w:rsidR="00EF5D35" w:rsidRPr="00EF5D35" w:rsidRDefault="00EF5D35" w:rsidP="00EF5D35">
      <w:pPr>
        <w:spacing w:after="0" w:line="240" w:lineRule="auto"/>
        <w:ind w:left="1701"/>
      </w:pPr>
    </w:p>
    <w:p w:rsidR="00EF5D35" w:rsidRPr="00EF5D35" w:rsidRDefault="00EF5D35" w:rsidP="00EF5D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10"/>
        <w:rPr>
          <w:rFonts w:eastAsia="Times New Roman" w:cs="LiberationSans,Bold"/>
          <w:bCs/>
          <w:lang w:eastAsia="fr-FR"/>
        </w:rPr>
      </w:pPr>
      <w:r w:rsidRPr="00EF5D35">
        <w:rPr>
          <w:rFonts w:eastAsia="Times New Roman" w:cs="LiberationSans,Bold"/>
          <w:b/>
          <w:bCs/>
          <w:color w:val="365F91" w:themeColor="accent1" w:themeShade="BF"/>
          <w:lang w:eastAsia="fr-FR"/>
        </w:rPr>
        <w:t>Une approche différente avec prééminences des objectifs sur les normes</w:t>
      </w:r>
      <w:r w:rsidRPr="00EF5D35">
        <w:rPr>
          <w:rFonts w:eastAsia="Times New Roman" w:cs="LiberationSans,Bold"/>
          <w:bCs/>
          <w:lang w:eastAsia="fr-FR"/>
        </w:rPr>
        <w:t>.</w:t>
      </w:r>
      <w:r w:rsidR="00DF36B0" w:rsidRPr="00DF36B0">
        <w:rPr>
          <w:rFonts w:eastAsia="Times New Roman" w:cs="LiberationSans,Bold"/>
          <w:bCs/>
          <w:lang w:eastAsia="fr-FR"/>
        </w:rPr>
        <w:t xml:space="preserve"> </w:t>
      </w:r>
      <w:r w:rsidRPr="00EF5D35">
        <w:rPr>
          <w:rFonts w:eastAsia="Times New Roman" w:cs="LiberationSans,Bold"/>
          <w:bCs/>
          <w:lang w:eastAsia="fr-FR"/>
        </w:rPr>
        <w:t>Pour les ERP dans un cadre bâti existant, permettre au pétitionnaire de proposer des solutions techniques alternatives à celles définies par la réglementation en démontrant que ces solutions alternatives, ouvertes à tous, offrent un niveau de service équivalent et les faire valider par la CCDSA.</w:t>
      </w:r>
    </w:p>
    <w:p w:rsidR="00EF5D35" w:rsidRPr="00EF5D35" w:rsidRDefault="00EF5D35" w:rsidP="00EF5D35">
      <w:pPr>
        <w:autoSpaceDE w:val="0"/>
        <w:autoSpaceDN w:val="0"/>
        <w:adjustRightInd w:val="0"/>
        <w:spacing w:after="0" w:line="240" w:lineRule="auto"/>
        <w:ind w:left="1701"/>
        <w:rPr>
          <w:rFonts w:eastAsia="Times New Roman" w:cs="LiberationSans,Bold"/>
          <w:bCs/>
          <w:lang w:eastAsia="fr-FR"/>
        </w:rPr>
      </w:pPr>
    </w:p>
    <w:p w:rsidR="00EF5D35" w:rsidRPr="00EF5D35" w:rsidRDefault="00EF5D35" w:rsidP="00EF5D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10"/>
        <w:rPr>
          <w:rFonts w:eastAsia="Times New Roman" w:cs="LiberationSans,Bold"/>
          <w:bCs/>
          <w:lang w:eastAsia="fr-FR"/>
        </w:rPr>
      </w:pPr>
      <w:r w:rsidRPr="00EF5D35">
        <w:rPr>
          <w:rFonts w:eastAsia="Times New Roman" w:cs="LiberationSans,Bold"/>
          <w:b/>
          <w:bCs/>
          <w:color w:val="365F91" w:themeColor="accent1" w:themeShade="BF"/>
          <w:lang w:eastAsia="fr-FR"/>
        </w:rPr>
        <w:t>Une modification de la composition des CCDSA</w:t>
      </w:r>
      <w:r w:rsidRPr="00EF5D35">
        <w:rPr>
          <w:rFonts w:eastAsia="Times New Roman" w:cs="LiberationSans,Bold"/>
          <w:bCs/>
          <w:color w:val="365F91" w:themeColor="accent1" w:themeShade="BF"/>
          <w:lang w:eastAsia="fr-FR"/>
        </w:rPr>
        <w:t xml:space="preserve"> </w:t>
      </w:r>
      <w:r w:rsidRPr="00EF5D35">
        <w:rPr>
          <w:rFonts w:eastAsia="Times New Roman" w:cs="LiberationSans,Bold"/>
          <w:bCs/>
          <w:lang w:eastAsia="fr-FR"/>
        </w:rPr>
        <w:t>(parité des représentants) et une unification de leurs avis sur les demandes de dérogation.</w:t>
      </w:r>
    </w:p>
    <w:p w:rsidR="00EF5D35" w:rsidRPr="00EF5D35" w:rsidRDefault="00EF5D35" w:rsidP="00EF5D35">
      <w:pPr>
        <w:autoSpaceDE w:val="0"/>
        <w:autoSpaceDN w:val="0"/>
        <w:adjustRightInd w:val="0"/>
        <w:spacing w:after="0" w:line="240" w:lineRule="auto"/>
        <w:ind w:left="2410"/>
        <w:rPr>
          <w:rFonts w:eastAsia="Times New Roman" w:cs="LiberationSans,Bold"/>
          <w:bCs/>
          <w:lang w:eastAsia="fr-FR"/>
        </w:rPr>
      </w:pPr>
    </w:p>
    <w:p w:rsidR="00EF5D35" w:rsidRPr="00EF5D35" w:rsidRDefault="00EF5D35" w:rsidP="00EF5D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10"/>
        <w:rPr>
          <w:rFonts w:eastAsia="Times New Roman" w:cs="LiberationSans,Bold"/>
          <w:bCs/>
          <w:lang w:eastAsia="fr-FR"/>
        </w:rPr>
      </w:pPr>
      <w:r w:rsidRPr="00EF5D35">
        <w:rPr>
          <w:rFonts w:eastAsia="Times New Roman" w:cs="LiberationSans,Bold"/>
          <w:b/>
          <w:bCs/>
          <w:color w:val="365F91" w:themeColor="accent1" w:themeShade="BF"/>
          <w:lang w:eastAsia="fr-FR"/>
        </w:rPr>
        <w:t>Une clarification des avis des CCDSA</w:t>
      </w:r>
      <w:r w:rsidRPr="00EF5D35">
        <w:rPr>
          <w:rFonts w:eastAsia="Times New Roman" w:cs="LiberationSans,Bold"/>
          <w:bCs/>
          <w:color w:val="365F91" w:themeColor="accent1" w:themeShade="BF"/>
          <w:lang w:eastAsia="fr-FR"/>
        </w:rPr>
        <w:t xml:space="preserve"> </w:t>
      </w:r>
      <w:r w:rsidRPr="00EF5D35">
        <w:rPr>
          <w:rFonts w:eastAsia="Times New Roman" w:cs="LiberationSans,Bold"/>
          <w:bCs/>
          <w:lang w:eastAsia="fr-FR"/>
        </w:rPr>
        <w:t>en distinguant l’avis sur l’application de la réglementation des simples recommandations et en introduisant la notion de</w:t>
      </w:r>
      <w:r w:rsidRPr="00EF5D35">
        <w:rPr>
          <w:rFonts w:eastAsia="Times New Roman" w:cs="LiberationSans,Bold"/>
          <w:bCs/>
          <w:lang w:eastAsia="fr-FR"/>
        </w:rPr>
        <w:t xml:space="preserve"> </w:t>
      </w:r>
      <w:r w:rsidRPr="00EF5D35">
        <w:rPr>
          <w:rFonts w:eastAsia="Times New Roman" w:cs="LiberationSans,Bold"/>
          <w:bCs/>
          <w:lang w:eastAsia="fr-FR"/>
        </w:rPr>
        <w:t>« réserves ».</w:t>
      </w:r>
    </w:p>
    <w:p w:rsidR="00EF5D35" w:rsidRPr="00EF5D35" w:rsidRDefault="00EF5D35" w:rsidP="00EF5D35">
      <w:pPr>
        <w:autoSpaceDE w:val="0"/>
        <w:autoSpaceDN w:val="0"/>
        <w:adjustRightInd w:val="0"/>
        <w:spacing w:after="0" w:line="240" w:lineRule="auto"/>
        <w:ind w:left="2410"/>
        <w:rPr>
          <w:rFonts w:eastAsia="Times New Roman" w:cs="LiberationSans,Bold"/>
          <w:bCs/>
          <w:lang w:eastAsia="fr-FR"/>
        </w:rPr>
      </w:pPr>
    </w:p>
    <w:p w:rsidR="00EF5D35" w:rsidRPr="00EF5D35" w:rsidRDefault="00EF5D35" w:rsidP="00EF5D35">
      <w:pPr>
        <w:numPr>
          <w:ilvl w:val="0"/>
          <w:numId w:val="6"/>
        </w:numPr>
        <w:spacing w:after="0" w:line="240" w:lineRule="auto"/>
        <w:rPr>
          <w:rFonts w:eastAsia="Times New Roman" w:cs="LiberationSans,Bold"/>
          <w:bCs/>
          <w:lang w:eastAsia="fr-FR"/>
        </w:rPr>
      </w:pPr>
      <w:r w:rsidRPr="00EF5D35">
        <w:rPr>
          <w:rFonts w:eastAsia="Times New Roman" w:cs="LiberationSans,Bold"/>
          <w:bCs/>
          <w:lang w:eastAsia="fr-FR"/>
        </w:rPr>
        <w:t xml:space="preserve">Le lancement d’un chantier de </w:t>
      </w:r>
      <w:r w:rsidRPr="00EF5D35">
        <w:rPr>
          <w:rFonts w:eastAsia="Times New Roman" w:cs="LiberationSans,Bold"/>
          <w:b/>
          <w:bCs/>
          <w:color w:val="365F91" w:themeColor="accent1" w:themeShade="BF"/>
          <w:lang w:eastAsia="fr-FR"/>
        </w:rPr>
        <w:t>simplification du dossier d’autorisation</w:t>
      </w:r>
      <w:r w:rsidRPr="00EF5D35">
        <w:rPr>
          <w:rFonts w:eastAsia="Times New Roman" w:cs="LiberationSans,Bold"/>
          <w:bCs/>
          <w:color w:val="365F91" w:themeColor="accent1" w:themeShade="BF"/>
          <w:lang w:eastAsia="fr-FR"/>
        </w:rPr>
        <w:t xml:space="preserve"> </w:t>
      </w:r>
      <w:r w:rsidRPr="00EF5D35">
        <w:rPr>
          <w:rFonts w:eastAsia="Times New Roman" w:cs="LiberationSans,Bold"/>
          <w:bCs/>
          <w:lang w:eastAsia="fr-FR"/>
        </w:rPr>
        <w:t>de créer, modifier et aménager un ERP de 5ème catégorie.</w:t>
      </w:r>
    </w:p>
    <w:p w:rsidR="00EF5D35" w:rsidRPr="00EF5D35" w:rsidRDefault="00EF5D35" w:rsidP="00EF5D35">
      <w:pPr>
        <w:autoSpaceDE w:val="0"/>
        <w:autoSpaceDN w:val="0"/>
        <w:adjustRightInd w:val="0"/>
        <w:spacing w:after="0" w:line="240" w:lineRule="auto"/>
        <w:ind w:left="1690"/>
        <w:rPr>
          <w:rFonts w:eastAsia="Times New Roman" w:cs="LiberationSans,Bold"/>
          <w:bCs/>
          <w:lang w:eastAsia="fr-FR"/>
        </w:rPr>
      </w:pPr>
    </w:p>
    <w:p w:rsidR="00EF5D35" w:rsidRPr="00EF5D35" w:rsidRDefault="00EF5D35" w:rsidP="00EF5D3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LiberationSans,Bold"/>
          <w:bCs/>
          <w:lang w:eastAsia="fr-FR"/>
        </w:rPr>
      </w:pPr>
      <w:r w:rsidRPr="00EF5D35">
        <w:rPr>
          <w:rFonts w:eastAsia="Times New Roman" w:cs="LiberationSans,Bold"/>
          <w:bCs/>
          <w:lang w:eastAsia="fr-FR"/>
        </w:rPr>
        <w:t xml:space="preserve">La </w:t>
      </w:r>
      <w:r w:rsidRPr="00EF5D35">
        <w:rPr>
          <w:rFonts w:eastAsia="Times New Roman" w:cs="LiberationSans,Bold"/>
          <w:b/>
          <w:bCs/>
          <w:color w:val="365F91" w:themeColor="accent1" w:themeShade="BF"/>
          <w:lang w:eastAsia="fr-FR"/>
        </w:rPr>
        <w:t>généralisation des atténuations</w:t>
      </w:r>
      <w:r w:rsidRPr="00EF5D35">
        <w:rPr>
          <w:rFonts w:eastAsia="Times New Roman" w:cs="LiberationSans,Bold"/>
          <w:bCs/>
          <w:color w:val="365F91" w:themeColor="accent1" w:themeShade="BF"/>
          <w:lang w:eastAsia="fr-FR"/>
        </w:rPr>
        <w:t xml:space="preserve"> </w:t>
      </w:r>
      <w:r w:rsidRPr="00EF5D35">
        <w:rPr>
          <w:rFonts w:eastAsia="Times New Roman" w:cs="LiberationSans,Bold"/>
          <w:bCs/>
          <w:lang w:eastAsia="fr-FR"/>
        </w:rPr>
        <w:t>appliquées aux ERP existants en cas de contraintes structurelles à tous les ERP existants</w:t>
      </w:r>
      <w:r w:rsidR="00DF36B0">
        <w:rPr>
          <w:rFonts w:eastAsia="Times New Roman" w:cs="LiberationSans,Bold"/>
          <w:bCs/>
          <w:lang w:eastAsia="fr-FR"/>
        </w:rPr>
        <w:t>,</w:t>
      </w:r>
      <w:r w:rsidRPr="00EF5D35">
        <w:rPr>
          <w:rFonts w:eastAsia="Times New Roman" w:cs="LiberationSans,Bold"/>
          <w:bCs/>
          <w:lang w:eastAsia="fr-FR"/>
        </w:rPr>
        <w:t xml:space="preserve"> même en l’absence de contraintes structurelles.</w:t>
      </w:r>
    </w:p>
    <w:p w:rsidR="00EF5D35" w:rsidRPr="00EF5D35" w:rsidRDefault="00EF5D35" w:rsidP="00EF5D35">
      <w:pPr>
        <w:autoSpaceDE w:val="0"/>
        <w:autoSpaceDN w:val="0"/>
        <w:adjustRightInd w:val="0"/>
        <w:spacing w:after="0" w:line="240" w:lineRule="auto"/>
        <w:ind w:left="1701"/>
        <w:rPr>
          <w:rFonts w:eastAsia="Times New Roman" w:cs="LiberationSans,Bold"/>
          <w:bCs/>
          <w:lang w:eastAsia="fr-FR"/>
        </w:rPr>
      </w:pPr>
    </w:p>
    <w:p w:rsidR="00EF5D35" w:rsidRPr="00EF5D35" w:rsidRDefault="00EF5D35" w:rsidP="00EF5D3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LiberationSans,Bold"/>
          <w:bCs/>
          <w:lang w:eastAsia="fr-FR"/>
        </w:rPr>
      </w:pPr>
      <w:r w:rsidRPr="00EF5D35">
        <w:rPr>
          <w:rFonts w:eastAsia="Times New Roman" w:cs="LiberationSans,Bold"/>
          <w:bCs/>
          <w:lang w:eastAsia="fr-FR"/>
        </w:rPr>
        <w:t xml:space="preserve">La </w:t>
      </w:r>
      <w:r w:rsidRPr="00EF5D35">
        <w:rPr>
          <w:rFonts w:eastAsia="Times New Roman" w:cs="LiberationSans,Bold"/>
          <w:b/>
          <w:bCs/>
          <w:color w:val="365F91" w:themeColor="accent1" w:themeShade="BF"/>
          <w:lang w:eastAsia="fr-FR"/>
        </w:rPr>
        <w:t>précision de la notion de dérogation</w:t>
      </w:r>
      <w:r w:rsidRPr="00EF5D35">
        <w:rPr>
          <w:rFonts w:eastAsia="Times New Roman" w:cs="LiberationSans,Bold"/>
          <w:bCs/>
          <w:color w:val="365F91" w:themeColor="accent1" w:themeShade="BF"/>
          <w:lang w:eastAsia="fr-FR"/>
        </w:rPr>
        <w:t xml:space="preserve"> </w:t>
      </w:r>
      <w:r w:rsidRPr="00EF5D35">
        <w:rPr>
          <w:rFonts w:eastAsia="Times New Roman" w:cs="LiberationSans,Bold"/>
          <w:bCs/>
          <w:lang w:eastAsia="fr-FR"/>
        </w:rPr>
        <w:t xml:space="preserve">pour disproportion manifeste en retenant comme motifs possibles : </w:t>
      </w:r>
    </w:p>
    <w:p w:rsidR="00EF5D35" w:rsidRDefault="00EF5D35" w:rsidP="00EF5D3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11"/>
        <w:rPr>
          <w:rFonts w:eastAsia="Times New Roman" w:cs="LiberationSans,Bold"/>
          <w:bCs/>
          <w:lang w:eastAsia="fr-FR"/>
        </w:rPr>
      </w:pPr>
      <w:r w:rsidRPr="00EF5D35">
        <w:rPr>
          <w:rFonts w:eastAsia="Times New Roman" w:cs="LiberationSans,Bold"/>
          <w:bCs/>
          <w:lang w:eastAsia="fr-FR"/>
        </w:rPr>
        <w:t>l’incapacité pour un établissement à financer les travaux</w:t>
      </w:r>
    </w:p>
    <w:p w:rsidR="00EF5D35" w:rsidRPr="00EF5D35" w:rsidRDefault="00EF5D35" w:rsidP="00EF5D35">
      <w:pPr>
        <w:autoSpaceDE w:val="0"/>
        <w:autoSpaceDN w:val="0"/>
        <w:adjustRightInd w:val="0"/>
        <w:spacing w:after="0" w:line="240" w:lineRule="auto"/>
        <w:ind w:left="2835"/>
        <w:rPr>
          <w:rFonts w:eastAsia="Times New Roman" w:cs="LiberationSans,Bold"/>
          <w:bCs/>
          <w:lang w:eastAsia="fr-FR"/>
        </w:rPr>
      </w:pPr>
      <w:proofErr w:type="gramStart"/>
      <w:r w:rsidRPr="00EF5D35">
        <w:rPr>
          <w:rFonts w:eastAsia="Times New Roman" w:cs="LiberationSans,Bold"/>
          <w:bCs/>
          <w:lang w:eastAsia="fr-FR"/>
        </w:rPr>
        <w:t>d’accessibilité</w:t>
      </w:r>
      <w:proofErr w:type="gramEnd"/>
      <w:r w:rsidRPr="00EF5D35">
        <w:rPr>
          <w:rFonts w:eastAsia="Times New Roman" w:cs="LiberationSans,Bold"/>
          <w:bCs/>
          <w:lang w:eastAsia="fr-FR"/>
        </w:rPr>
        <w:t>,</w:t>
      </w:r>
    </w:p>
    <w:p w:rsidR="00EF5D35" w:rsidRPr="00EF5D35" w:rsidRDefault="00EF5D35" w:rsidP="00EF5D3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11"/>
        <w:rPr>
          <w:rFonts w:eastAsia="Times New Roman" w:cs="LiberationSans,Bold"/>
          <w:bCs/>
          <w:lang w:eastAsia="fr-FR"/>
        </w:rPr>
      </w:pPr>
      <w:r w:rsidRPr="00EF5D35">
        <w:rPr>
          <w:rFonts w:eastAsia="Times New Roman" w:cs="LiberationSans,Bold"/>
          <w:bCs/>
          <w:lang w:eastAsia="fr-FR"/>
        </w:rPr>
        <w:lastRenderedPageBreak/>
        <w:t>l’impact sur la viabilité économique future de l’établissement,</w:t>
      </w:r>
    </w:p>
    <w:p w:rsidR="00EF5D35" w:rsidRDefault="00EF5D35" w:rsidP="00EF5D3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11"/>
        <w:rPr>
          <w:rFonts w:eastAsia="Times New Roman" w:cs="LiberationSans,Bold"/>
          <w:bCs/>
          <w:lang w:eastAsia="fr-FR"/>
        </w:rPr>
      </w:pPr>
      <w:r w:rsidRPr="00EF5D35">
        <w:rPr>
          <w:rFonts w:eastAsia="Times New Roman" w:cs="LiberationSans,Bold"/>
          <w:bCs/>
          <w:lang w:eastAsia="fr-FR"/>
        </w:rPr>
        <w:t>l’impact de la rupture de la chaîne de l’accessibilité sur les prestations</w:t>
      </w:r>
    </w:p>
    <w:p w:rsidR="00EF5D35" w:rsidRDefault="00EF5D35" w:rsidP="00EF5D35">
      <w:pPr>
        <w:autoSpaceDE w:val="0"/>
        <w:autoSpaceDN w:val="0"/>
        <w:adjustRightInd w:val="0"/>
        <w:spacing w:after="0" w:line="240" w:lineRule="auto"/>
        <w:ind w:left="2835"/>
        <w:rPr>
          <w:rFonts w:eastAsia="Times New Roman" w:cs="LiberationSans,Bold"/>
          <w:bCs/>
          <w:lang w:eastAsia="fr-FR"/>
        </w:rPr>
      </w:pPr>
      <w:proofErr w:type="gramStart"/>
      <w:r w:rsidRPr="00EF5D35">
        <w:rPr>
          <w:rFonts w:eastAsia="Times New Roman" w:cs="LiberationSans,Bold"/>
          <w:bCs/>
          <w:lang w:eastAsia="fr-FR"/>
        </w:rPr>
        <w:t>délivrées</w:t>
      </w:r>
      <w:proofErr w:type="gramEnd"/>
      <w:r>
        <w:rPr>
          <w:rFonts w:eastAsia="Times New Roman" w:cs="LiberationSans,Bold"/>
          <w:bCs/>
          <w:lang w:eastAsia="fr-FR"/>
        </w:rPr>
        <w:t xml:space="preserve"> </w:t>
      </w:r>
      <w:r w:rsidRPr="00EF5D35">
        <w:rPr>
          <w:rFonts w:eastAsia="Times New Roman" w:cs="LiberationSans,Bold"/>
          <w:bCs/>
          <w:lang w:eastAsia="fr-FR"/>
        </w:rPr>
        <w:t>par l’ERP en aval de cette rupture, impact à examiner handicap par handicap.</w:t>
      </w:r>
    </w:p>
    <w:p w:rsidR="00EF5D35" w:rsidRPr="00EF5D35" w:rsidRDefault="00EF5D35" w:rsidP="00EF5D35">
      <w:pPr>
        <w:autoSpaceDE w:val="0"/>
        <w:autoSpaceDN w:val="0"/>
        <w:adjustRightInd w:val="0"/>
        <w:spacing w:after="0" w:line="240" w:lineRule="auto"/>
        <w:ind w:left="2835"/>
        <w:rPr>
          <w:rFonts w:eastAsia="Times New Roman" w:cs="LiberationSans,Bold"/>
          <w:bCs/>
          <w:lang w:eastAsia="fr-FR"/>
        </w:rPr>
      </w:pPr>
    </w:p>
    <w:p w:rsidR="00EF5D35" w:rsidRPr="00EF5D35" w:rsidRDefault="00EF5D35" w:rsidP="00EF5D3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LiberationSans,Bold"/>
          <w:bCs/>
          <w:lang w:eastAsia="fr-FR"/>
        </w:rPr>
      </w:pPr>
      <w:r w:rsidRPr="00EF5D35">
        <w:rPr>
          <w:rFonts w:eastAsia="Times New Roman" w:cs="LiberationSans,Bold"/>
          <w:bCs/>
          <w:lang w:eastAsia="fr-FR"/>
        </w:rPr>
        <w:t xml:space="preserve">La </w:t>
      </w:r>
      <w:r w:rsidRPr="00EF5D35">
        <w:rPr>
          <w:rFonts w:eastAsia="Times New Roman" w:cs="LiberationSans,Bold"/>
          <w:b/>
          <w:bCs/>
          <w:color w:val="365F91" w:themeColor="accent1" w:themeShade="BF"/>
          <w:lang w:eastAsia="fr-FR"/>
        </w:rPr>
        <w:t>limitation dans le temps de la dérogation</w:t>
      </w:r>
      <w:r w:rsidRPr="00EF5D35">
        <w:rPr>
          <w:rFonts w:eastAsia="Times New Roman" w:cs="LiberationSans,Bold"/>
          <w:bCs/>
          <w:color w:val="365F91" w:themeColor="accent1" w:themeShade="BF"/>
          <w:lang w:eastAsia="fr-FR"/>
        </w:rPr>
        <w:t xml:space="preserve"> </w:t>
      </w:r>
      <w:r w:rsidRPr="00EF5D35">
        <w:rPr>
          <w:rFonts w:eastAsia="Times New Roman" w:cs="LiberationSans,Bold"/>
          <w:bCs/>
          <w:lang w:eastAsia="fr-FR"/>
        </w:rPr>
        <w:t>accordée pour motif économique à la prochaine demande de permis de construire.</w:t>
      </w:r>
    </w:p>
    <w:p w:rsidR="00EF5D35" w:rsidRPr="00EF5D35" w:rsidRDefault="00EF5D35" w:rsidP="00EF5D35">
      <w:pPr>
        <w:autoSpaceDE w:val="0"/>
        <w:autoSpaceDN w:val="0"/>
        <w:adjustRightInd w:val="0"/>
        <w:spacing w:after="0" w:line="240" w:lineRule="auto"/>
        <w:ind w:left="2835"/>
        <w:rPr>
          <w:rFonts w:eastAsia="Times New Roman" w:cs="LiberationSans,Bold"/>
          <w:bCs/>
          <w:lang w:eastAsia="fr-FR"/>
        </w:rPr>
      </w:pPr>
    </w:p>
    <w:p w:rsidR="00EF5D35" w:rsidRPr="00EF5D35" w:rsidRDefault="00EF5D35" w:rsidP="00EF5D3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LiberationSans,Bold"/>
          <w:bCs/>
          <w:lang w:eastAsia="fr-FR"/>
        </w:rPr>
      </w:pPr>
      <w:r w:rsidRPr="00EF5D35">
        <w:rPr>
          <w:rFonts w:eastAsia="Times New Roman" w:cs="LiberationSans,Bold"/>
          <w:b/>
          <w:bCs/>
          <w:color w:val="365F91" w:themeColor="accent1" w:themeShade="BF"/>
          <w:lang w:eastAsia="fr-FR"/>
        </w:rPr>
        <w:t xml:space="preserve">La prise en compte des refus de l’assemblée </w:t>
      </w:r>
      <w:r w:rsidRPr="00EF5D35">
        <w:rPr>
          <w:rFonts w:eastAsia="Times New Roman" w:cs="LiberationSans,Bold"/>
          <w:bCs/>
          <w:color w:val="365F91" w:themeColor="accent1" w:themeShade="BF"/>
          <w:lang w:eastAsia="fr-FR"/>
        </w:rPr>
        <w:t xml:space="preserve">générale des copropriétaires </w:t>
      </w:r>
      <w:r w:rsidRPr="00EF5D35">
        <w:rPr>
          <w:rFonts w:eastAsia="Times New Roman" w:cs="LiberationSans,Bold"/>
          <w:bCs/>
          <w:lang w:eastAsia="fr-FR"/>
        </w:rPr>
        <w:t>(cas des bâtiments à destination principale d’habitation dans laquelle un ERP est situé).</w:t>
      </w:r>
    </w:p>
    <w:p w:rsidR="00EF5D35" w:rsidRPr="00EF5D35" w:rsidRDefault="00EF5D35" w:rsidP="00EF5D35">
      <w:pPr>
        <w:spacing w:after="0" w:line="240" w:lineRule="auto"/>
        <w:ind w:left="2835"/>
        <w:rPr>
          <w:rFonts w:eastAsia="Times New Roman" w:cs="LiberationSans,Bold"/>
          <w:bCs/>
          <w:lang w:eastAsia="fr-FR"/>
        </w:rPr>
      </w:pPr>
    </w:p>
    <w:p w:rsidR="00EF5D35" w:rsidRPr="00EF5D35" w:rsidRDefault="00EF5D35" w:rsidP="00EF5D3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color w:val="365F91"/>
        </w:rPr>
      </w:pPr>
      <w:r w:rsidRPr="00EF5D35">
        <w:rPr>
          <w:rFonts w:eastAsia="Times New Roman" w:cs="LiberationSans,Bold"/>
          <w:b/>
          <w:bCs/>
          <w:color w:val="365F91" w:themeColor="accent1" w:themeShade="BF"/>
          <w:lang w:eastAsia="fr-FR"/>
        </w:rPr>
        <w:t>L’adoption d’une stratégie de mise en accessibilité</w:t>
      </w:r>
      <w:r w:rsidRPr="00EF5D35">
        <w:rPr>
          <w:rFonts w:eastAsia="Times New Roman" w:cs="LiberationSans,Bold"/>
          <w:bCs/>
          <w:color w:val="365F91" w:themeColor="accent1" w:themeShade="BF"/>
          <w:lang w:eastAsia="fr-FR"/>
        </w:rPr>
        <w:t xml:space="preserve"> </w:t>
      </w:r>
      <w:r w:rsidRPr="00EF5D35">
        <w:rPr>
          <w:rFonts w:eastAsia="Times New Roman" w:cs="LiberationSans,Bold"/>
          <w:bCs/>
          <w:lang w:eastAsia="fr-FR"/>
        </w:rPr>
        <w:t>en limitant les travaux d’accessibilité pour les utilisateurs de fauteuil roulant (UFR) aux seules zones déjà mises en accessibilité ainsi qu’aux zones contiguës.</w:t>
      </w:r>
    </w:p>
    <w:p w:rsidR="00EF5D35" w:rsidRPr="00EF5D35" w:rsidRDefault="00EF5D35" w:rsidP="00EF5D35">
      <w:pPr>
        <w:autoSpaceDE w:val="0"/>
        <w:autoSpaceDN w:val="0"/>
        <w:adjustRightInd w:val="0"/>
        <w:spacing w:after="0" w:line="240" w:lineRule="auto"/>
        <w:ind w:left="1701"/>
        <w:rPr>
          <w:rFonts w:eastAsia="Times New Roman" w:cs="LiberationSans,Bold"/>
          <w:bCs/>
          <w:lang w:eastAsia="fr-FR"/>
        </w:rPr>
      </w:pPr>
    </w:p>
    <w:p w:rsidR="00EF5D35" w:rsidRPr="00EF5D35" w:rsidRDefault="00EF5D35" w:rsidP="00EF5D35">
      <w:pPr>
        <w:autoSpaceDE w:val="0"/>
        <w:autoSpaceDN w:val="0"/>
        <w:adjustRightInd w:val="0"/>
        <w:spacing w:after="0" w:line="240" w:lineRule="auto"/>
        <w:ind w:left="1701"/>
        <w:rPr>
          <w:rFonts w:eastAsia="Times New Roman" w:cs="LiberationSans,Bold"/>
          <w:b/>
          <w:bCs/>
          <w:color w:val="365F91"/>
          <w:sz w:val="24"/>
          <w:szCs w:val="24"/>
          <w:lang w:eastAsia="fr-FR"/>
        </w:rPr>
      </w:pPr>
      <w:r w:rsidRPr="00EF5D35">
        <w:rPr>
          <w:rFonts w:eastAsia="Times New Roman" w:cs="LiberationSans,Bold"/>
          <w:b/>
          <w:bCs/>
          <w:color w:val="365F91"/>
          <w:sz w:val="24"/>
          <w:szCs w:val="24"/>
          <w:lang w:eastAsia="fr-FR"/>
        </w:rPr>
        <w:t xml:space="preserve">Exemples </w:t>
      </w:r>
    </w:p>
    <w:p w:rsidR="00EF5D35" w:rsidRPr="00EF5D35" w:rsidRDefault="00EF5D35" w:rsidP="00EF5D35">
      <w:pPr>
        <w:autoSpaceDE w:val="0"/>
        <w:autoSpaceDN w:val="0"/>
        <w:adjustRightInd w:val="0"/>
        <w:spacing w:after="0" w:line="240" w:lineRule="auto"/>
        <w:ind w:left="1701"/>
        <w:rPr>
          <w:rFonts w:eastAsia="Times New Roman" w:cs="LiberationSans,Bold"/>
          <w:bCs/>
          <w:lang w:eastAsia="fr-FR"/>
        </w:rPr>
      </w:pPr>
      <w:r w:rsidRPr="00EF5D35">
        <w:rPr>
          <w:rFonts w:eastAsia="Times New Roman" w:cs="LiberationSans,Bold"/>
          <w:bCs/>
          <w:lang w:eastAsia="fr-FR"/>
        </w:rPr>
        <w:t>Si le trottoir présente une largeur inférieure à 2,8 m et une pente longitudinale de plus de 5 %</w:t>
      </w:r>
      <w:r w:rsidR="003959F5">
        <w:rPr>
          <w:rFonts w:eastAsia="Times New Roman" w:cs="LiberationSans,Bold"/>
          <w:bCs/>
          <w:lang w:eastAsia="fr-FR"/>
        </w:rPr>
        <w:t>, l</w:t>
      </w:r>
      <w:r w:rsidRPr="00EF5D35">
        <w:rPr>
          <w:rFonts w:eastAsia="Times New Roman" w:cs="LiberationSans,Bold"/>
          <w:bCs/>
          <w:lang w:eastAsia="fr-FR"/>
        </w:rPr>
        <w:t>es obligations d’accessibilité à l’intérieur de l’ERP s’appliquent si la marche à l’entrée de l’ERP est inférieure à 17 cm ;</w:t>
      </w:r>
    </w:p>
    <w:p w:rsidR="00EF5D35" w:rsidRPr="00EF5D35" w:rsidRDefault="00EF5D35" w:rsidP="00EF5D35">
      <w:pPr>
        <w:autoSpaceDE w:val="0"/>
        <w:autoSpaceDN w:val="0"/>
        <w:adjustRightInd w:val="0"/>
        <w:spacing w:after="0" w:line="240" w:lineRule="auto"/>
        <w:ind w:left="1701"/>
        <w:rPr>
          <w:rFonts w:eastAsia="Times New Roman" w:cs="LiberationSans,Bold"/>
          <w:bCs/>
          <w:lang w:eastAsia="fr-FR"/>
        </w:rPr>
      </w:pPr>
      <w:r w:rsidRPr="00EF5D35">
        <w:rPr>
          <w:rFonts w:eastAsia="Times New Roman" w:cs="LiberationSans,Bold"/>
          <w:bCs/>
          <w:lang w:eastAsia="fr-FR"/>
        </w:rPr>
        <w:t xml:space="preserve">Sinon il est admis une impossibilité technique d’accéder de plain-pied à l’ERP : </w:t>
      </w:r>
      <w:r w:rsidR="00DF36B0">
        <w:rPr>
          <w:rFonts w:eastAsia="Times New Roman" w:cs="LiberationSans,Bold"/>
          <w:bCs/>
          <w:lang w:eastAsia="fr-FR"/>
        </w:rPr>
        <w:t>Dans ce cas, l</w:t>
      </w:r>
      <w:r w:rsidRPr="00EF5D35">
        <w:rPr>
          <w:rFonts w:eastAsia="Times New Roman" w:cs="LiberationSans,Bold"/>
          <w:bCs/>
          <w:lang w:eastAsia="fr-FR"/>
        </w:rPr>
        <w:t>es normes visant plus particulièrement les personnes circulant en fauteuil roulant peuvent ne pas être appliquées à l’intérieur de l’ERP.</w:t>
      </w:r>
    </w:p>
    <w:p w:rsidR="00EF5D35" w:rsidRPr="00EF5D35" w:rsidRDefault="00EF5D35" w:rsidP="00EF5D35">
      <w:pPr>
        <w:autoSpaceDE w:val="0"/>
        <w:autoSpaceDN w:val="0"/>
        <w:adjustRightInd w:val="0"/>
        <w:spacing w:after="0" w:line="240" w:lineRule="auto"/>
        <w:ind w:left="1701"/>
        <w:rPr>
          <w:rFonts w:eastAsia="Times New Roman" w:cs="LucidaConsole"/>
          <w:lang w:eastAsia="fr-FR"/>
        </w:rPr>
      </w:pPr>
    </w:p>
    <w:p w:rsidR="00EF5D35" w:rsidRPr="00EF5D35" w:rsidRDefault="00EF5D35" w:rsidP="00EF5D35">
      <w:pPr>
        <w:autoSpaceDE w:val="0"/>
        <w:autoSpaceDN w:val="0"/>
        <w:adjustRightInd w:val="0"/>
        <w:spacing w:after="0" w:line="240" w:lineRule="auto"/>
        <w:ind w:left="1701"/>
        <w:rPr>
          <w:rFonts w:eastAsia="Times New Roman" w:cs="LiberationSans,Bold"/>
          <w:bCs/>
          <w:lang w:eastAsia="fr-FR"/>
        </w:rPr>
      </w:pPr>
      <w:r w:rsidRPr="00EF5D35">
        <w:rPr>
          <w:rFonts w:eastAsia="Times New Roman" w:cs="LiberationSans,Bold"/>
          <w:bCs/>
          <w:lang w:eastAsia="fr-FR"/>
        </w:rPr>
        <w:t>Dans les cas où l’installation d’un ascenseur n’est pas imposée par la réglementation, les étages non accessibles aux personnes circulant en fauteuil roulant peuvent ne pas intégrer :</w:t>
      </w:r>
    </w:p>
    <w:p w:rsidR="00EF5D35" w:rsidRPr="00EF5D35" w:rsidRDefault="00DF36B0" w:rsidP="00EF5D35">
      <w:pPr>
        <w:autoSpaceDE w:val="0"/>
        <w:autoSpaceDN w:val="0"/>
        <w:adjustRightInd w:val="0"/>
        <w:spacing w:after="0" w:line="240" w:lineRule="auto"/>
        <w:ind w:left="1701"/>
        <w:rPr>
          <w:rFonts w:eastAsia="Times New Roman" w:cs="LiberationSans,Bold"/>
          <w:bCs/>
          <w:lang w:eastAsia="fr-FR"/>
        </w:rPr>
      </w:pPr>
      <w:r>
        <w:rPr>
          <w:rFonts w:eastAsia="Times New Roman" w:cs="LiberationSans,Bold"/>
          <w:bCs/>
          <w:lang w:eastAsia="fr-FR"/>
        </w:rPr>
        <w:t>D</w:t>
      </w:r>
      <w:r w:rsidR="00EF5D35" w:rsidRPr="00EF5D35">
        <w:rPr>
          <w:rFonts w:eastAsia="Times New Roman" w:cs="LiberationSans,Bold"/>
          <w:bCs/>
          <w:lang w:eastAsia="fr-FR"/>
        </w:rPr>
        <w:t xml:space="preserve">es espaces de </w:t>
      </w:r>
      <w:proofErr w:type="gramStart"/>
      <w:r w:rsidR="00EF5D35" w:rsidRPr="00EF5D35">
        <w:rPr>
          <w:rFonts w:eastAsia="Times New Roman" w:cs="LiberationSans,Bold"/>
          <w:bCs/>
          <w:lang w:eastAsia="fr-FR"/>
        </w:rPr>
        <w:t>retournement</w:t>
      </w:r>
      <w:r>
        <w:rPr>
          <w:rFonts w:eastAsia="Times New Roman" w:cs="LiberationSans,Bold"/>
          <w:bCs/>
          <w:lang w:eastAsia="fr-FR"/>
        </w:rPr>
        <w:t xml:space="preserve"> ,</w:t>
      </w:r>
      <w:proofErr w:type="gramEnd"/>
      <w:r>
        <w:rPr>
          <w:rFonts w:eastAsia="Times New Roman" w:cs="LiberationSans,Bold"/>
          <w:bCs/>
          <w:lang w:eastAsia="fr-FR"/>
        </w:rPr>
        <w:t xml:space="preserve"> </w:t>
      </w:r>
      <w:r w:rsidR="00EF5D35" w:rsidRPr="00EF5D35">
        <w:rPr>
          <w:rFonts w:eastAsia="Times New Roman" w:cs="LiberationSans,Bold"/>
          <w:bCs/>
          <w:lang w:eastAsia="fr-FR"/>
        </w:rPr>
        <w:t>des espaces de manœuvre de porte</w:t>
      </w:r>
      <w:r>
        <w:rPr>
          <w:rFonts w:eastAsia="Times New Roman" w:cs="LiberationSans,Bold"/>
          <w:bCs/>
          <w:lang w:eastAsia="fr-FR"/>
        </w:rPr>
        <w:t xml:space="preserve">, </w:t>
      </w:r>
      <w:r w:rsidR="00EF5D35" w:rsidRPr="00EF5D35">
        <w:rPr>
          <w:rFonts w:eastAsia="Times New Roman" w:cs="LiberationSans,Bold"/>
          <w:bCs/>
          <w:lang w:eastAsia="fr-FR"/>
        </w:rPr>
        <w:t>des espaces d’usage devant les équipements</w:t>
      </w:r>
      <w:r>
        <w:rPr>
          <w:rFonts w:eastAsia="Times New Roman" w:cs="LiberationSans,Bold"/>
          <w:bCs/>
          <w:lang w:eastAsia="fr-FR"/>
        </w:rPr>
        <w:t xml:space="preserve"> ainsi qu’une </w:t>
      </w:r>
      <w:r w:rsidR="00EF5D35" w:rsidRPr="00EF5D35">
        <w:rPr>
          <w:rFonts w:eastAsia="Times New Roman" w:cs="LiberationSans,Bold"/>
          <w:bCs/>
          <w:lang w:eastAsia="fr-FR"/>
        </w:rPr>
        <w:t>distance minimale entre la poignée de la porte et un angle de rentrant.</w:t>
      </w:r>
    </w:p>
    <w:p w:rsidR="00EF5D35" w:rsidRPr="00EF5D35" w:rsidRDefault="00EF5D35" w:rsidP="00EF5D35">
      <w:pPr>
        <w:autoSpaceDE w:val="0"/>
        <w:autoSpaceDN w:val="0"/>
        <w:adjustRightInd w:val="0"/>
        <w:spacing w:after="0" w:line="240" w:lineRule="auto"/>
        <w:ind w:left="1701"/>
        <w:rPr>
          <w:rFonts w:eastAsia="Times New Roman" w:cs="LiberationSans,Bold"/>
          <w:bCs/>
          <w:lang w:eastAsia="fr-FR"/>
        </w:rPr>
      </w:pPr>
    </w:p>
    <w:p w:rsidR="00EF5D35" w:rsidRPr="00EF5D35" w:rsidRDefault="00EF5D35" w:rsidP="00EF5D35">
      <w:pPr>
        <w:spacing w:after="0" w:line="240" w:lineRule="auto"/>
        <w:ind w:left="1701"/>
        <w:rPr>
          <w:rFonts w:eastAsia="Times New Roman"/>
          <w:sz w:val="28"/>
          <w:szCs w:val="28"/>
          <w:u w:val="single"/>
          <w:lang w:eastAsia="fr-FR"/>
        </w:rPr>
      </w:pPr>
      <w:r w:rsidRPr="00EF5D35">
        <w:rPr>
          <w:rFonts w:eastAsia="Times New Roman"/>
          <w:b/>
          <w:color w:val="365F91"/>
          <w:sz w:val="28"/>
          <w:szCs w:val="28"/>
          <w:u w:val="single"/>
          <w:lang w:eastAsia="fr-FR"/>
        </w:rPr>
        <w:t xml:space="preserve">Conseils pour </w:t>
      </w:r>
      <w:r w:rsidR="00DF36B0">
        <w:rPr>
          <w:rFonts w:eastAsia="Times New Roman"/>
          <w:b/>
          <w:color w:val="365F91"/>
          <w:sz w:val="28"/>
          <w:szCs w:val="28"/>
          <w:u w:val="single"/>
          <w:lang w:eastAsia="fr-FR"/>
        </w:rPr>
        <w:t>optimiser</w:t>
      </w:r>
      <w:r w:rsidRPr="00EF5D35">
        <w:rPr>
          <w:rFonts w:eastAsia="Times New Roman"/>
          <w:b/>
          <w:color w:val="365F91"/>
          <w:sz w:val="28"/>
          <w:szCs w:val="28"/>
          <w:u w:val="single"/>
          <w:lang w:eastAsia="fr-FR"/>
        </w:rPr>
        <w:t xml:space="preserve"> les </w:t>
      </w:r>
      <w:r w:rsidR="00DF36B0" w:rsidRPr="00EF5D35">
        <w:rPr>
          <w:rFonts w:eastAsia="Times New Roman"/>
          <w:b/>
          <w:color w:val="365F91"/>
          <w:sz w:val="28"/>
          <w:szCs w:val="28"/>
          <w:u w:val="single"/>
          <w:lang w:eastAsia="fr-FR"/>
        </w:rPr>
        <w:t>possibilités</w:t>
      </w:r>
      <w:r w:rsidRPr="00EF5D35">
        <w:rPr>
          <w:rFonts w:eastAsia="Times New Roman"/>
          <w:b/>
          <w:color w:val="365F91"/>
          <w:sz w:val="28"/>
          <w:szCs w:val="28"/>
          <w:u w:val="single"/>
          <w:lang w:eastAsia="fr-FR"/>
        </w:rPr>
        <w:t xml:space="preserve"> d’obtention de la dérogation</w:t>
      </w:r>
    </w:p>
    <w:p w:rsidR="00EF5D35" w:rsidRPr="003959F5" w:rsidRDefault="003959F5" w:rsidP="003959F5">
      <w:pPr>
        <w:pStyle w:val="Paragraphedeliste"/>
        <w:numPr>
          <w:ilvl w:val="0"/>
          <w:numId w:val="13"/>
        </w:numPr>
        <w:spacing w:after="0" w:line="240" w:lineRule="auto"/>
        <w:rPr>
          <w:rFonts w:eastAsia="Times New Roman"/>
          <w:b/>
          <w:color w:val="943634" w:themeColor="accent2" w:themeShade="BF"/>
          <w:lang w:eastAsia="fr-FR"/>
        </w:rPr>
      </w:pPr>
      <w:r w:rsidRPr="003959F5">
        <w:rPr>
          <w:rFonts w:eastAsia="Times New Roman"/>
          <w:b/>
          <w:color w:val="943634" w:themeColor="accent2" w:themeShade="BF"/>
          <w:lang w:eastAsia="fr-FR"/>
        </w:rPr>
        <w:t xml:space="preserve">Attendre la publication de l’ordonnance gouvernementale pour </w:t>
      </w:r>
      <w:r w:rsidR="00DA4A0E">
        <w:rPr>
          <w:rFonts w:eastAsia="Times New Roman"/>
          <w:b/>
          <w:color w:val="943634" w:themeColor="accent2" w:themeShade="BF"/>
          <w:lang w:eastAsia="fr-FR"/>
        </w:rPr>
        <w:t xml:space="preserve">déposer une demande d’AD’AP sur le formulaire simplifié et </w:t>
      </w:r>
      <w:r w:rsidRPr="003959F5">
        <w:rPr>
          <w:rFonts w:eastAsia="Times New Roman"/>
          <w:b/>
          <w:color w:val="943634" w:themeColor="accent2" w:themeShade="BF"/>
          <w:lang w:eastAsia="fr-FR"/>
        </w:rPr>
        <w:t>engager des travaux.</w:t>
      </w:r>
    </w:p>
    <w:p w:rsidR="00EF5D35" w:rsidRPr="00EF5D35" w:rsidRDefault="003959F5" w:rsidP="003959F5">
      <w:pPr>
        <w:numPr>
          <w:ilvl w:val="0"/>
          <w:numId w:val="13"/>
        </w:numPr>
        <w:spacing w:after="0" w:line="240" w:lineRule="auto"/>
        <w:rPr>
          <w:rFonts w:eastAsia="Times New Roman"/>
          <w:b/>
          <w:color w:val="365F91" w:themeColor="accent1" w:themeShade="BF"/>
          <w:lang w:eastAsia="fr-FR"/>
        </w:rPr>
      </w:pPr>
      <w:r w:rsidRPr="003959F5">
        <w:rPr>
          <w:rFonts w:eastAsia="Times New Roman"/>
          <w:b/>
          <w:color w:val="365F91" w:themeColor="accent1" w:themeShade="BF"/>
          <w:lang w:eastAsia="fr-FR"/>
        </w:rPr>
        <w:t>S’y préparer en r</w:t>
      </w:r>
      <w:r w:rsidR="00EF5D35" w:rsidRPr="00EF5D35">
        <w:rPr>
          <w:rFonts w:eastAsia="Times New Roman"/>
          <w:b/>
          <w:color w:val="365F91" w:themeColor="accent1" w:themeShade="BF"/>
          <w:lang w:eastAsia="fr-FR"/>
        </w:rPr>
        <w:t>éalis</w:t>
      </w:r>
      <w:r w:rsidRPr="003959F5">
        <w:rPr>
          <w:rFonts w:eastAsia="Times New Roman"/>
          <w:b/>
          <w:color w:val="365F91" w:themeColor="accent1" w:themeShade="BF"/>
          <w:lang w:eastAsia="fr-FR"/>
        </w:rPr>
        <w:t>ant un diagnostic d’accessibilité.</w:t>
      </w:r>
    </w:p>
    <w:p w:rsidR="00EF5D35" w:rsidRPr="003959F5" w:rsidRDefault="00EF5D35" w:rsidP="003959F5">
      <w:pPr>
        <w:numPr>
          <w:ilvl w:val="0"/>
          <w:numId w:val="13"/>
        </w:numPr>
        <w:spacing w:after="0" w:line="240" w:lineRule="auto"/>
        <w:rPr>
          <w:rFonts w:eastAsia="Times New Roman"/>
          <w:b/>
          <w:color w:val="365F91" w:themeColor="accent1" w:themeShade="BF"/>
          <w:lang w:eastAsia="fr-FR"/>
        </w:rPr>
      </w:pPr>
      <w:r w:rsidRPr="00EF5D35">
        <w:rPr>
          <w:rFonts w:eastAsia="Times New Roman"/>
          <w:b/>
          <w:color w:val="365F91" w:themeColor="accent1" w:themeShade="BF"/>
          <w:lang w:eastAsia="fr-FR"/>
        </w:rPr>
        <w:t xml:space="preserve">Réaliser des devis pour les aménagements simples (nez de marches, </w:t>
      </w:r>
      <w:r w:rsidR="003959F5" w:rsidRPr="003959F5">
        <w:rPr>
          <w:rFonts w:eastAsia="Times New Roman"/>
          <w:b/>
          <w:color w:val="365F91" w:themeColor="accent1" w:themeShade="BF"/>
          <w:lang w:eastAsia="fr-FR"/>
        </w:rPr>
        <w:t xml:space="preserve"> </w:t>
      </w:r>
      <w:r w:rsidRPr="003959F5">
        <w:rPr>
          <w:rFonts w:eastAsia="Times New Roman"/>
          <w:b/>
          <w:color w:val="365F91" w:themeColor="accent1" w:themeShade="BF"/>
          <w:lang w:eastAsia="fr-FR"/>
        </w:rPr>
        <w:t xml:space="preserve">signalétique …) </w:t>
      </w:r>
    </w:p>
    <w:p w:rsidR="00EF5D35" w:rsidRPr="00EF5D35" w:rsidRDefault="00EF5D35" w:rsidP="003959F5">
      <w:pPr>
        <w:numPr>
          <w:ilvl w:val="0"/>
          <w:numId w:val="13"/>
        </w:numPr>
        <w:spacing w:after="0" w:line="240" w:lineRule="auto"/>
        <w:rPr>
          <w:rFonts w:eastAsia="Times New Roman"/>
          <w:b/>
          <w:color w:val="365F91" w:themeColor="accent1" w:themeShade="BF"/>
          <w:lang w:eastAsia="fr-FR"/>
        </w:rPr>
      </w:pPr>
      <w:r w:rsidRPr="00EF5D35">
        <w:rPr>
          <w:rFonts w:eastAsia="Times New Roman"/>
          <w:b/>
          <w:color w:val="365F91" w:themeColor="accent1" w:themeShade="BF"/>
          <w:lang w:eastAsia="fr-FR"/>
        </w:rPr>
        <w:t>Sensibiliser</w:t>
      </w:r>
      <w:r w:rsidR="003959F5" w:rsidRPr="003959F5">
        <w:rPr>
          <w:rFonts w:eastAsia="Times New Roman"/>
          <w:b/>
          <w:color w:val="365F91" w:themeColor="accent1" w:themeShade="BF"/>
          <w:lang w:eastAsia="fr-FR"/>
        </w:rPr>
        <w:t xml:space="preserve"> et former</w:t>
      </w:r>
      <w:r w:rsidRPr="00EF5D35">
        <w:rPr>
          <w:rFonts w:eastAsia="Times New Roman"/>
          <w:b/>
          <w:color w:val="365F91" w:themeColor="accent1" w:themeShade="BF"/>
          <w:lang w:eastAsia="fr-FR"/>
        </w:rPr>
        <w:t xml:space="preserve"> le personnel à l’accueil du public en situation de handicap</w:t>
      </w:r>
      <w:r w:rsidR="003959F5" w:rsidRPr="003959F5">
        <w:rPr>
          <w:rFonts w:eastAsia="Times New Roman"/>
          <w:b/>
          <w:color w:val="365F91" w:themeColor="accent1" w:themeShade="BF"/>
          <w:lang w:eastAsia="fr-FR"/>
        </w:rPr>
        <w:t>.</w:t>
      </w:r>
    </w:p>
    <w:p w:rsidR="00EF5D35" w:rsidRPr="00EF5D35" w:rsidRDefault="00EF5D35" w:rsidP="00EF5D35">
      <w:pPr>
        <w:autoSpaceDE w:val="0"/>
        <w:autoSpaceDN w:val="0"/>
        <w:adjustRightInd w:val="0"/>
        <w:spacing w:after="0" w:line="240" w:lineRule="auto"/>
        <w:ind w:left="1701"/>
        <w:rPr>
          <w:b/>
          <w:color w:val="365F91"/>
          <w:u w:val="single"/>
        </w:rPr>
      </w:pPr>
    </w:p>
    <w:p w:rsidR="00EF5D35" w:rsidRPr="00EF5D35" w:rsidRDefault="00EF5D35" w:rsidP="00EF5D35">
      <w:pPr>
        <w:autoSpaceDE w:val="0"/>
        <w:autoSpaceDN w:val="0"/>
        <w:adjustRightInd w:val="0"/>
        <w:spacing w:after="0" w:line="240" w:lineRule="auto"/>
        <w:ind w:left="1701"/>
        <w:rPr>
          <w:b/>
          <w:color w:val="365F91"/>
          <w:sz w:val="28"/>
          <w:szCs w:val="28"/>
          <w:u w:val="single"/>
        </w:rPr>
      </w:pPr>
      <w:r w:rsidRPr="00EF5D35">
        <w:rPr>
          <w:b/>
          <w:color w:val="365F91"/>
          <w:sz w:val="28"/>
          <w:szCs w:val="28"/>
          <w:u w:val="single"/>
        </w:rPr>
        <w:t>Liens utiles</w:t>
      </w:r>
    </w:p>
    <w:p w:rsidR="00EF5D35" w:rsidRPr="00EF5D35" w:rsidRDefault="00EF5D35" w:rsidP="00EF5D35">
      <w:pPr>
        <w:autoSpaceDE w:val="0"/>
        <w:autoSpaceDN w:val="0"/>
        <w:adjustRightInd w:val="0"/>
        <w:spacing w:after="0" w:line="240" w:lineRule="auto"/>
        <w:ind w:left="1701"/>
      </w:pPr>
      <w:r w:rsidRPr="00EF5D35">
        <w:t>Ministère de l’écologie, du développement durable et de l’énergie</w:t>
      </w:r>
    </w:p>
    <w:p w:rsidR="00EF5D35" w:rsidRPr="00EF5D35" w:rsidRDefault="00EF5D35" w:rsidP="00EF5D35">
      <w:pPr>
        <w:autoSpaceDE w:val="0"/>
        <w:autoSpaceDN w:val="0"/>
        <w:adjustRightInd w:val="0"/>
        <w:spacing w:after="0" w:line="240" w:lineRule="auto"/>
        <w:ind w:left="1701"/>
      </w:pPr>
      <w:r w:rsidRPr="00EF5D35">
        <w:t>www.developpement-durable.gouv.fr/accessibilite</w:t>
      </w:r>
    </w:p>
    <w:p w:rsidR="00EF5D35" w:rsidRPr="00EF5D35" w:rsidRDefault="00EF5D35" w:rsidP="00EF5D35">
      <w:pPr>
        <w:autoSpaceDE w:val="0"/>
        <w:autoSpaceDN w:val="0"/>
        <w:adjustRightInd w:val="0"/>
        <w:spacing w:after="0" w:line="240" w:lineRule="auto"/>
        <w:ind w:left="1701"/>
      </w:pPr>
    </w:p>
    <w:p w:rsidR="00EF5D35" w:rsidRPr="00EF5D35" w:rsidRDefault="00EF5D35" w:rsidP="00EF5D35">
      <w:pPr>
        <w:autoSpaceDE w:val="0"/>
        <w:autoSpaceDN w:val="0"/>
        <w:adjustRightInd w:val="0"/>
        <w:spacing w:after="0" w:line="240" w:lineRule="auto"/>
        <w:ind w:left="1701"/>
      </w:pPr>
      <w:r w:rsidRPr="00EF5D35">
        <w:t>Ministère des Affaires sociales et de la Santé : www.social-sante.gouv.fr</w:t>
      </w:r>
    </w:p>
    <w:p w:rsidR="00EF5D35" w:rsidRPr="00EF5D35" w:rsidRDefault="00EF5D35" w:rsidP="00EF5D35">
      <w:pPr>
        <w:autoSpaceDE w:val="0"/>
        <w:autoSpaceDN w:val="0"/>
        <w:adjustRightInd w:val="0"/>
        <w:spacing w:after="0" w:line="240" w:lineRule="auto"/>
        <w:ind w:left="1701"/>
      </w:pPr>
    </w:p>
    <w:p w:rsidR="00EF5D35" w:rsidRPr="00EF5D35" w:rsidRDefault="00EF5D35" w:rsidP="00EF5D35">
      <w:pPr>
        <w:autoSpaceDE w:val="0"/>
        <w:autoSpaceDN w:val="0"/>
        <w:adjustRightInd w:val="0"/>
        <w:spacing w:after="0" w:line="240" w:lineRule="auto"/>
        <w:ind w:left="1701"/>
      </w:pPr>
      <w:r w:rsidRPr="00EF5D35">
        <w:t>Directions départementales des territoires et de la mer</w:t>
      </w:r>
    </w:p>
    <w:p w:rsidR="00EF5D35" w:rsidRPr="00EF5D35" w:rsidRDefault="00EF5D35" w:rsidP="00EF5D35">
      <w:pPr>
        <w:autoSpaceDE w:val="0"/>
        <w:autoSpaceDN w:val="0"/>
        <w:adjustRightInd w:val="0"/>
        <w:spacing w:after="0" w:line="240" w:lineRule="auto"/>
        <w:ind w:left="1701"/>
      </w:pPr>
      <w:hyperlink r:id="rId8" w:history="1">
        <w:r w:rsidRPr="00EF5D35">
          <w:t>www.developpement-durable.gouv.fr/les-DDT-directions-departementales.html</w:t>
        </w:r>
      </w:hyperlink>
    </w:p>
    <w:p w:rsidR="00EF5D35" w:rsidRPr="00EF5D35" w:rsidRDefault="00EF5D35" w:rsidP="00EF5D35">
      <w:pPr>
        <w:autoSpaceDE w:val="0"/>
        <w:autoSpaceDN w:val="0"/>
        <w:adjustRightInd w:val="0"/>
        <w:spacing w:after="0" w:line="240" w:lineRule="auto"/>
        <w:ind w:left="1701"/>
        <w:rPr>
          <w:u w:val="single"/>
        </w:rPr>
      </w:pPr>
    </w:p>
    <w:p w:rsidR="00EF5D35" w:rsidRPr="00EF5D35" w:rsidRDefault="00EF5D35" w:rsidP="00EF5D35">
      <w:pPr>
        <w:autoSpaceDE w:val="0"/>
        <w:autoSpaceDN w:val="0"/>
        <w:adjustRightInd w:val="0"/>
        <w:spacing w:after="0" w:line="240" w:lineRule="auto"/>
        <w:ind w:left="1701"/>
      </w:pPr>
      <w:r w:rsidRPr="00EF5D35">
        <w:t>Conseil national de l’Ordre des médecins :</w:t>
      </w:r>
    </w:p>
    <w:p w:rsidR="003D6D0A" w:rsidRDefault="00EF5D35" w:rsidP="00140F74">
      <w:pPr>
        <w:autoSpaceDE w:val="0"/>
        <w:autoSpaceDN w:val="0"/>
        <w:adjustRightInd w:val="0"/>
        <w:spacing w:after="0" w:line="240" w:lineRule="auto"/>
        <w:ind w:left="1701"/>
      </w:pPr>
      <w:r w:rsidRPr="00EF5D35">
        <w:rPr>
          <w:color w:val="0000FF"/>
        </w:rPr>
        <w:t>www.conseil-national.medecin.fr/sites/default/files/Reussir_accessibilite_0.pdf</w:t>
      </w:r>
    </w:p>
    <w:sectPr w:rsidR="003D6D0A" w:rsidSect="00B44B29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Conso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1.25pt;height:11.25pt" o:bullet="t">
        <v:imagedata r:id="rId1" o:title="mso89AD"/>
      </v:shape>
    </w:pict>
  </w:numPicBullet>
  <w:abstractNum w:abstractNumId="0">
    <w:nsid w:val="156D37C5"/>
    <w:multiLevelType w:val="hybridMultilevel"/>
    <w:tmpl w:val="5B844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C0DC5"/>
    <w:multiLevelType w:val="hybridMultilevel"/>
    <w:tmpl w:val="D2580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937C6"/>
    <w:multiLevelType w:val="hybridMultilevel"/>
    <w:tmpl w:val="B638F05A"/>
    <w:lvl w:ilvl="0" w:tplc="6FF20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FE5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36C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05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7CB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3E4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BC9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C01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380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E71EA4"/>
    <w:multiLevelType w:val="hybridMultilevel"/>
    <w:tmpl w:val="647A113A"/>
    <w:lvl w:ilvl="0" w:tplc="633A0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DA8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A0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1A9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02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46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CE1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F06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66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86055B"/>
    <w:multiLevelType w:val="hybridMultilevel"/>
    <w:tmpl w:val="B0DC8648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271C0E6B"/>
    <w:multiLevelType w:val="hybridMultilevel"/>
    <w:tmpl w:val="84C27F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D45A5"/>
    <w:multiLevelType w:val="hybridMultilevel"/>
    <w:tmpl w:val="3EB8926C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56280643"/>
    <w:multiLevelType w:val="hybridMultilevel"/>
    <w:tmpl w:val="3A4E532A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57105A90"/>
    <w:multiLevelType w:val="hybridMultilevel"/>
    <w:tmpl w:val="34CAA9FA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57AF1E9C"/>
    <w:multiLevelType w:val="hybridMultilevel"/>
    <w:tmpl w:val="1B1C406A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68500BF0"/>
    <w:multiLevelType w:val="hybridMultilevel"/>
    <w:tmpl w:val="31AE691C"/>
    <w:lvl w:ilvl="0" w:tplc="040C0007">
      <w:start w:val="1"/>
      <w:numFmt w:val="bullet"/>
      <w:lvlText w:val=""/>
      <w:lvlPicBulletId w:val="0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68932703"/>
    <w:multiLevelType w:val="hybridMultilevel"/>
    <w:tmpl w:val="30EE70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9645D"/>
    <w:multiLevelType w:val="hybridMultilevel"/>
    <w:tmpl w:val="888E2782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FC"/>
    <w:rsid w:val="00140F74"/>
    <w:rsid w:val="00226884"/>
    <w:rsid w:val="003959F5"/>
    <w:rsid w:val="003D6D0A"/>
    <w:rsid w:val="00546823"/>
    <w:rsid w:val="006A1D44"/>
    <w:rsid w:val="009032C9"/>
    <w:rsid w:val="00930FFC"/>
    <w:rsid w:val="009D37A9"/>
    <w:rsid w:val="009F012F"/>
    <w:rsid w:val="00AF3155"/>
    <w:rsid w:val="00DA4A0E"/>
    <w:rsid w:val="00DF36B0"/>
    <w:rsid w:val="00E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FF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0FF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30FF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01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FF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0FF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30FF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01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veloppement-durable.gouv.fr/les-DDT-directions-departementales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83856-26F8-4763-AF28-E0BA33EE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1030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jean-louis caron</dc:creator>
  <cp:lastModifiedBy>Papa</cp:lastModifiedBy>
  <cp:revision>8</cp:revision>
  <dcterms:created xsi:type="dcterms:W3CDTF">2014-03-20T13:26:00Z</dcterms:created>
  <dcterms:modified xsi:type="dcterms:W3CDTF">2014-03-20T14:07:00Z</dcterms:modified>
</cp:coreProperties>
</file>